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Instructional Technology Across the Curriculum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F302E1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10/10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726E0E">
              <w:rPr>
                <w:b/>
                <w:sz w:val="24"/>
              </w:rPr>
              <w:t>4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:00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:30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F302E1" w:rsidP="00FE5447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TBD</w:t>
            </w:r>
            <w:r w:rsidR="0015398C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3D2A6E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C93449" w:rsidRPr="00C93449">
              <w:rPr>
                <w:sz w:val="22"/>
                <w:szCs w:val="22"/>
              </w:rPr>
              <w:t>Alex Azima</w:t>
            </w:r>
            <w:r w:rsidR="00C93449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 xml:space="preserve">James Bender, Marcy Bauman, Brenda Brown, Co-Chair Kevin Bubb, </w:t>
            </w:r>
            <w:r w:rsidR="00726E0E">
              <w:rPr>
                <w:sz w:val="22"/>
                <w:szCs w:val="22"/>
              </w:rPr>
              <w:t xml:space="preserve">Vicki Deketelaere, </w:t>
            </w:r>
            <w:r w:rsidR="00897D42">
              <w:rPr>
                <w:sz w:val="22"/>
                <w:szCs w:val="22"/>
              </w:rPr>
              <w:t>Tom Donaldson, 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Linda Hamlin, Andrea Hoagland,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897D42">
              <w:rPr>
                <w:sz w:val="22"/>
                <w:szCs w:val="22"/>
              </w:rPr>
              <w:t xml:space="preserve">Sean Huberty,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 xml:space="preserve">Quentin McCallum, </w:t>
            </w:r>
            <w:r w:rsidR="00C93449" w:rsidRPr="00C93449">
              <w:rPr>
                <w:sz w:val="22"/>
                <w:szCs w:val="22"/>
              </w:rPr>
              <w:t xml:space="preserve">Jean </w:t>
            </w:r>
            <w:r w:rsidR="00C93449" w:rsidRPr="00897D42">
              <w:rPr>
                <w:sz w:val="22"/>
                <w:szCs w:val="22"/>
              </w:rPr>
              <w:t>Morciglio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 xml:space="preserve">Homa </w:t>
            </w:r>
            <w:r w:rsidR="002F4FD5">
              <w:rPr>
                <w:sz w:val="22"/>
                <w:szCs w:val="22"/>
              </w:rPr>
              <w:t>Mujtaba, Paul Price</w:t>
            </w:r>
            <w:r w:rsidR="00897D42">
              <w:rPr>
                <w:sz w:val="22"/>
                <w:szCs w:val="22"/>
              </w:rPr>
              <w:t xml:space="preserve">, </w:t>
            </w:r>
            <w:r w:rsidR="00C93449">
              <w:rPr>
                <w:sz w:val="22"/>
                <w:szCs w:val="22"/>
              </w:rPr>
              <w:t xml:space="preserve">Richard Prystowsky, </w:t>
            </w:r>
            <w:r w:rsidR="00897D42">
              <w:rPr>
                <w:sz w:val="22"/>
                <w:szCs w:val="22"/>
              </w:rPr>
              <w:t>Ed Suniga, Peter Tascarella, John Thommen</w:t>
            </w:r>
            <w:r w:rsidR="00E84E81">
              <w:rPr>
                <w:sz w:val="22"/>
                <w:szCs w:val="22"/>
              </w:rPr>
              <w:t>, Evan Yamanishi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Pressing Issues/Systemic Barriers</w:t>
            </w:r>
          </w:p>
          <w:p w:rsidR="0021463B" w:rsidRPr="003D2A6E" w:rsidRDefault="0021463B" w:rsidP="0021463B">
            <w:pPr>
              <w:pStyle w:val="Standard1"/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316B8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Center for Student Access Presentation</w:t>
            </w:r>
          </w:p>
          <w:p w:rsidR="00316B8F" w:rsidRPr="003D2A6E" w:rsidRDefault="00316B8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316B8F" w:rsidRPr="003D2A6E" w:rsidRDefault="00316B8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6B8F" w:rsidRPr="003D2A6E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Evan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51668C" w:rsidRDefault="0051668C" w:rsidP="0051668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AUP Review</w:t>
            </w:r>
          </w:p>
          <w:p w:rsidR="0051668C" w:rsidRDefault="0051668C" w:rsidP="0051668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Lynda.com Licenses</w:t>
            </w:r>
          </w:p>
          <w:p w:rsidR="00E84E81" w:rsidRPr="003D2A6E" w:rsidRDefault="00E84E81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E84E81" w:rsidP="00E84E81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</w:p>
          <w:p w:rsidR="00E84E81" w:rsidRDefault="00E84E81" w:rsidP="00E84E81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E84E81" w:rsidRDefault="00E84E81" w:rsidP="00E84E81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402720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Ed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791732" w:rsidRDefault="00791732" w:rsidP="005E02A5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  <w:sz w:val="24"/>
                <w:szCs w:val="24"/>
              </w:rPr>
              <w:t>Propose Friday, November 21, 9-10:30am</w:t>
            </w:r>
          </w:p>
          <w:p w:rsidR="0021463B" w:rsidRPr="005E02A5" w:rsidRDefault="005E02A5" w:rsidP="005E02A5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  <w:sz w:val="24"/>
                <w:szCs w:val="24"/>
              </w:rPr>
              <w:t>Media Services presentation on upcoming classroom upgrades, use of wireless technology and creation of a sandbox to pilot new initiatives</w:t>
            </w:r>
            <w:r w:rsidR="00791732">
              <w:rPr>
                <w:rFonts w:asciiTheme="majorHAnsi" w:hAnsiTheme="majorHAnsi"/>
                <w:color w:val="FF0000"/>
                <w:sz w:val="24"/>
                <w:szCs w:val="24"/>
              </w:rPr>
              <w:t>.</w:t>
            </w:r>
            <w:bookmarkStart w:id="1" w:name="_GoBack"/>
            <w:bookmarkEnd w:id="1"/>
          </w:p>
          <w:p w:rsidR="00C93449" w:rsidRPr="003D2A6E" w:rsidRDefault="00C93449" w:rsidP="00C93449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FE544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DCE" w:rsidRDefault="00461DCE" w:rsidP="00C640CF">
      <w:r>
        <w:separator/>
      </w:r>
    </w:p>
  </w:endnote>
  <w:endnote w:type="continuationSeparator" w:id="0">
    <w:p w:rsidR="00461DCE" w:rsidRDefault="00461DCE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1732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DCE" w:rsidRDefault="00461DCE" w:rsidP="00C640CF">
      <w:r>
        <w:separator/>
      </w:r>
    </w:p>
  </w:footnote>
  <w:footnote w:type="continuationSeparator" w:id="0">
    <w:p w:rsidR="00461DCE" w:rsidRDefault="00461DCE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2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16"/>
  </w:num>
  <w:num w:numId="11">
    <w:abstractNumId w:val="14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F0C78"/>
    <w:rsid w:val="000F6D7E"/>
    <w:rsid w:val="00111267"/>
    <w:rsid w:val="0011587D"/>
    <w:rsid w:val="00115F06"/>
    <w:rsid w:val="001175C2"/>
    <w:rsid w:val="00117719"/>
    <w:rsid w:val="0013368A"/>
    <w:rsid w:val="00142046"/>
    <w:rsid w:val="0014667B"/>
    <w:rsid w:val="001504EA"/>
    <w:rsid w:val="0015398C"/>
    <w:rsid w:val="001546E7"/>
    <w:rsid w:val="0016658A"/>
    <w:rsid w:val="00185A8D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468E9"/>
    <w:rsid w:val="00352FBD"/>
    <w:rsid w:val="0038425E"/>
    <w:rsid w:val="00395FA5"/>
    <w:rsid w:val="003B5287"/>
    <w:rsid w:val="003B686E"/>
    <w:rsid w:val="003D2A6E"/>
    <w:rsid w:val="003D318F"/>
    <w:rsid w:val="003E5550"/>
    <w:rsid w:val="003E6F8C"/>
    <w:rsid w:val="003E7C8E"/>
    <w:rsid w:val="003F106D"/>
    <w:rsid w:val="00401454"/>
    <w:rsid w:val="00402720"/>
    <w:rsid w:val="00405E61"/>
    <w:rsid w:val="004207A7"/>
    <w:rsid w:val="00431AA4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66AE"/>
    <w:rsid w:val="00581496"/>
    <w:rsid w:val="0058237A"/>
    <w:rsid w:val="005942E2"/>
    <w:rsid w:val="005A5177"/>
    <w:rsid w:val="005D5534"/>
    <w:rsid w:val="005E02A5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5686D"/>
    <w:rsid w:val="00770C5E"/>
    <w:rsid w:val="00771EED"/>
    <w:rsid w:val="007813A6"/>
    <w:rsid w:val="00791732"/>
    <w:rsid w:val="00793FF4"/>
    <w:rsid w:val="00797473"/>
    <w:rsid w:val="007B1238"/>
    <w:rsid w:val="007B399E"/>
    <w:rsid w:val="007B679D"/>
    <w:rsid w:val="008112E8"/>
    <w:rsid w:val="0083547D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E5BC0"/>
    <w:rsid w:val="009E7AF4"/>
    <w:rsid w:val="009F55C4"/>
    <w:rsid w:val="00A00D8F"/>
    <w:rsid w:val="00A16542"/>
    <w:rsid w:val="00A24F20"/>
    <w:rsid w:val="00A260CE"/>
    <w:rsid w:val="00A2684C"/>
    <w:rsid w:val="00A46797"/>
    <w:rsid w:val="00A51ABC"/>
    <w:rsid w:val="00A761C8"/>
    <w:rsid w:val="00AA36F1"/>
    <w:rsid w:val="00AA778C"/>
    <w:rsid w:val="00AC098C"/>
    <w:rsid w:val="00AE044B"/>
    <w:rsid w:val="00AF1883"/>
    <w:rsid w:val="00AF2C7C"/>
    <w:rsid w:val="00B06AF0"/>
    <w:rsid w:val="00B16176"/>
    <w:rsid w:val="00B25F22"/>
    <w:rsid w:val="00B31A8C"/>
    <w:rsid w:val="00B360A1"/>
    <w:rsid w:val="00B36151"/>
    <w:rsid w:val="00B56333"/>
    <w:rsid w:val="00B62ED1"/>
    <w:rsid w:val="00B81270"/>
    <w:rsid w:val="00B85AD2"/>
    <w:rsid w:val="00B91D13"/>
    <w:rsid w:val="00B94AB2"/>
    <w:rsid w:val="00BB460D"/>
    <w:rsid w:val="00BB7E06"/>
    <w:rsid w:val="00BC09B5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38F4"/>
    <w:rsid w:val="00CC7951"/>
    <w:rsid w:val="00CD454E"/>
    <w:rsid w:val="00CE33C7"/>
    <w:rsid w:val="00CE56A2"/>
    <w:rsid w:val="00CF0B63"/>
    <w:rsid w:val="00CF52C3"/>
    <w:rsid w:val="00CF7F83"/>
    <w:rsid w:val="00D057F0"/>
    <w:rsid w:val="00D0786A"/>
    <w:rsid w:val="00D1265B"/>
    <w:rsid w:val="00D176D7"/>
    <w:rsid w:val="00D4497E"/>
    <w:rsid w:val="00D5610D"/>
    <w:rsid w:val="00D5635B"/>
    <w:rsid w:val="00D83CE2"/>
    <w:rsid w:val="00D95BC0"/>
    <w:rsid w:val="00DA6E5B"/>
    <w:rsid w:val="00DB16D9"/>
    <w:rsid w:val="00DF3B95"/>
    <w:rsid w:val="00E028B4"/>
    <w:rsid w:val="00E14F58"/>
    <w:rsid w:val="00E2447A"/>
    <w:rsid w:val="00E34B89"/>
    <w:rsid w:val="00E373C6"/>
    <w:rsid w:val="00E41858"/>
    <w:rsid w:val="00E458E1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1937"/>
    <w:rsid w:val="00F72810"/>
    <w:rsid w:val="00F7546A"/>
    <w:rsid w:val="00F85C05"/>
    <w:rsid w:val="00F9463B"/>
    <w:rsid w:val="00FC0528"/>
    <w:rsid w:val="00FC2012"/>
    <w:rsid w:val="00FD0A5A"/>
    <w:rsid w:val="00FD2ACF"/>
    <w:rsid w:val="00FD339A"/>
    <w:rsid w:val="00FE2372"/>
    <w:rsid w:val="00FE5447"/>
    <w:rsid w:val="00FE55A7"/>
    <w:rsid w:val="00FE5A27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11</cp:revision>
  <cp:lastPrinted>2014-01-13T16:48:00Z</cp:lastPrinted>
  <dcterms:created xsi:type="dcterms:W3CDTF">2014-08-28T17:52:00Z</dcterms:created>
  <dcterms:modified xsi:type="dcterms:W3CDTF">2014-10-09T15:33:00Z</dcterms:modified>
</cp:coreProperties>
</file>