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DC5282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F60742">
              <w:rPr>
                <w:b/>
                <w:sz w:val="24"/>
              </w:rPr>
              <w:t>5</w:t>
            </w:r>
            <w:r w:rsidR="000209DF">
              <w:rPr>
                <w:b/>
                <w:sz w:val="24"/>
              </w:rPr>
              <w:t>/</w:t>
            </w:r>
            <w:r w:rsidR="00F60742">
              <w:rPr>
                <w:b/>
                <w:sz w:val="24"/>
              </w:rPr>
              <w:t>8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8F1E09"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F60742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ADM 200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8F1E09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D07198">
              <w:rPr>
                <w:sz w:val="22"/>
                <w:szCs w:val="22"/>
              </w:rPr>
              <w:t xml:space="preserve">Khallai Taylor, </w:t>
            </w:r>
            <w:r w:rsidR="00897D42">
              <w:rPr>
                <w:sz w:val="22"/>
                <w:szCs w:val="22"/>
              </w:rPr>
              <w:t>Peter Tascarella, John Thommen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  <w:bookmarkStart w:id="1" w:name="_GoBack"/>
            <w:bookmarkEnd w:id="1"/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P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12255C" w:rsidRDefault="0012255C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AC1C32" w:rsidP="00371512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Late September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1C32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71512"/>
    <w:rsid w:val="0038425E"/>
    <w:rsid w:val="00395FA5"/>
    <w:rsid w:val="003B4B50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66AE"/>
    <w:rsid w:val="00581496"/>
    <w:rsid w:val="0058237A"/>
    <w:rsid w:val="005942E2"/>
    <w:rsid w:val="005A5177"/>
    <w:rsid w:val="005B63D3"/>
    <w:rsid w:val="005D5534"/>
    <w:rsid w:val="005E02A5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3</cp:revision>
  <cp:lastPrinted>2014-01-13T16:48:00Z</cp:lastPrinted>
  <dcterms:created xsi:type="dcterms:W3CDTF">2015-04-13T11:53:00Z</dcterms:created>
  <dcterms:modified xsi:type="dcterms:W3CDTF">2015-05-04T14:34:00Z</dcterms:modified>
</cp:coreProperties>
</file>