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30.xml" ContentType="application/vnd.openxmlformats-officedocument.drawingml.chart+xml"/>
  <Override PartName="/word/charts/colors20.xml" ContentType="application/vnd.ms-office.chartcolorstyle+xml"/>
  <Override PartName="/word/charts/style2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480" w:type="dxa"/>
        <w:jc w:val="right"/>
        <w:tblLayout w:type="fixed"/>
        <w:tblLook w:val="04A0" w:firstRow="1" w:lastRow="0" w:firstColumn="1" w:lastColumn="0" w:noHBand="0" w:noVBand="1"/>
      </w:tblPr>
      <w:tblGrid>
        <w:gridCol w:w="6480"/>
      </w:tblGrid>
      <w:tr w:rsidR="0046608D" w14:paraId="16D2B9B5" w14:textId="77777777" w:rsidTr="0046608D">
        <w:trPr>
          <w:jc w:val="right"/>
        </w:trPr>
        <w:tc>
          <w:tcPr>
            <w:tcW w:w="9576" w:type="dxa"/>
            <w:tcBorders>
              <w:bottom w:val="single" w:sz="2" w:space="0" w:color="BFBFBF" w:themeColor="background1" w:themeShade="BF"/>
            </w:tcBorders>
          </w:tcPr>
          <w:p w14:paraId="5A29F617" w14:textId="77777777" w:rsidR="0046608D" w:rsidRDefault="0046608D">
            <w:bookmarkStart w:id="0" w:name="_GoBack"/>
            <w:bookmarkEnd w:id="0"/>
          </w:p>
        </w:tc>
      </w:tr>
      <w:tr w:rsidR="0046608D" w:rsidRPr="00BA009E" w14:paraId="272C788D" w14:textId="77777777" w:rsidTr="00423B29">
        <w:trPr>
          <w:trHeight w:val="2880"/>
          <w:jc w:val="right"/>
        </w:trPr>
        <w:tc>
          <w:tcPr>
            <w:tcW w:w="9576" w:type="dxa"/>
            <w:tcBorders>
              <w:top w:val="single" w:sz="2" w:space="0" w:color="BFBFBF" w:themeColor="background1" w:themeShade="BF"/>
              <w:bottom w:val="single" w:sz="2" w:space="0" w:color="BFBFBF" w:themeColor="background1" w:themeShade="BF"/>
            </w:tcBorders>
            <w:vAlign w:val="bottom"/>
          </w:tcPr>
          <w:sdt>
            <w:sdtPr>
              <w:rPr>
                <w:sz w:val="56"/>
                <w:szCs w:val="56"/>
              </w:rPr>
              <w:alias w:val="Title"/>
              <w:tag w:val=""/>
              <w:id w:val="-841541200"/>
              <w:placeholder>
                <w:docPart w:val="EF1BBD16ED7FB741B67CF441A0249DA1"/>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D2B1711" w14:textId="77777777" w:rsidR="0046608D" w:rsidRPr="004F65CC" w:rsidRDefault="004F65CC" w:rsidP="00727288">
                <w:pPr>
                  <w:pStyle w:val="Title"/>
                  <w:jc w:val="both"/>
                  <w:rPr>
                    <w:sz w:val="56"/>
                    <w:szCs w:val="56"/>
                  </w:rPr>
                </w:pPr>
                <w:r w:rsidRPr="004F65CC">
                  <w:rPr>
                    <w:sz w:val="56"/>
                    <w:szCs w:val="56"/>
                  </w:rPr>
                  <w:t>LCC Assessment Results</w:t>
                </w:r>
              </w:p>
            </w:sdtContent>
          </w:sdt>
          <w:sdt>
            <w:sdtPr>
              <w:alias w:val="Subtitle"/>
              <w:tag w:val=""/>
              <w:id w:val="-1702467403"/>
              <w:placeholder>
                <w:docPart w:val="6B874FD3073091449530E03CCA9BF765"/>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6920B77F" w14:textId="6A5F78EC" w:rsidR="00727288" w:rsidRPr="00BA009E" w:rsidRDefault="00A22F5E" w:rsidP="004F65CC">
                <w:pPr>
                  <w:pStyle w:val="Subtitle"/>
                </w:pPr>
                <w:r>
                  <w:t>Spring, 2016</w:t>
                </w:r>
              </w:p>
            </w:sdtContent>
          </w:sdt>
        </w:tc>
      </w:tr>
      <w:tr w:rsidR="0046608D" w14:paraId="086D4477" w14:textId="77777777" w:rsidTr="0046608D">
        <w:trPr>
          <w:jc w:val="right"/>
        </w:trPr>
        <w:tc>
          <w:tcPr>
            <w:tcW w:w="9576" w:type="dxa"/>
            <w:tcBorders>
              <w:top w:val="single" w:sz="2" w:space="0" w:color="BFBFBF" w:themeColor="background1" w:themeShade="BF"/>
            </w:tcBorders>
          </w:tcPr>
          <w:p w14:paraId="701984E6" w14:textId="7E104E80" w:rsidR="00F06ED6" w:rsidRDefault="00F06ED6" w:rsidP="00CC2374">
            <w:pPr>
              <w:pStyle w:val="Footer"/>
            </w:pPr>
          </w:p>
          <w:p w14:paraId="49E42667" w14:textId="77777777" w:rsidR="00EB2D2E" w:rsidRDefault="00EB2D2E" w:rsidP="004F65CC">
            <w:pPr>
              <w:pStyle w:val="Footer"/>
            </w:pPr>
          </w:p>
          <w:p w14:paraId="50A21F59" w14:textId="77777777" w:rsidR="00EB2D2E" w:rsidRDefault="00EB2D2E" w:rsidP="004F65CC">
            <w:pPr>
              <w:pStyle w:val="Footer"/>
            </w:pPr>
          </w:p>
          <w:p w14:paraId="769982AE" w14:textId="77777777" w:rsidR="00EB2D2E" w:rsidRDefault="00EB2D2E" w:rsidP="004F65CC">
            <w:pPr>
              <w:pStyle w:val="Footer"/>
            </w:pPr>
          </w:p>
          <w:p w14:paraId="7A3735E2" w14:textId="77777777" w:rsidR="00EB2D2E" w:rsidRDefault="00EB2D2E" w:rsidP="004F65CC">
            <w:pPr>
              <w:pStyle w:val="Footer"/>
            </w:pPr>
          </w:p>
          <w:p w14:paraId="331B15DD" w14:textId="77777777" w:rsidR="00EB2D2E" w:rsidRDefault="00EB2D2E" w:rsidP="004F65CC">
            <w:pPr>
              <w:pStyle w:val="Footer"/>
            </w:pPr>
          </w:p>
          <w:p w14:paraId="31229561" w14:textId="77777777" w:rsidR="00EB2D2E" w:rsidRDefault="00EB2D2E" w:rsidP="004F65CC">
            <w:pPr>
              <w:pStyle w:val="Footer"/>
            </w:pPr>
          </w:p>
          <w:p w14:paraId="16C978C4" w14:textId="77777777" w:rsidR="00EB2D2E" w:rsidRDefault="00EB2D2E" w:rsidP="004F65CC">
            <w:pPr>
              <w:pStyle w:val="Footer"/>
            </w:pPr>
          </w:p>
          <w:p w14:paraId="4A2AB877" w14:textId="77777777" w:rsidR="00EB2D2E" w:rsidRDefault="00EB2D2E" w:rsidP="004F65CC">
            <w:pPr>
              <w:pStyle w:val="Footer"/>
            </w:pPr>
          </w:p>
          <w:p w14:paraId="63F38F16" w14:textId="77777777" w:rsidR="00EB2D2E" w:rsidRDefault="00EB2D2E" w:rsidP="004F65CC">
            <w:pPr>
              <w:pStyle w:val="Footer"/>
            </w:pPr>
          </w:p>
          <w:p w14:paraId="11C52160" w14:textId="77777777" w:rsidR="00EB2D2E" w:rsidRDefault="00EB2D2E" w:rsidP="004F65CC">
            <w:pPr>
              <w:pStyle w:val="Footer"/>
            </w:pPr>
          </w:p>
          <w:p w14:paraId="529E264F" w14:textId="77777777" w:rsidR="00EB2D2E" w:rsidRDefault="00EB2D2E" w:rsidP="004F65CC">
            <w:pPr>
              <w:pStyle w:val="Footer"/>
            </w:pPr>
          </w:p>
          <w:p w14:paraId="183074A7" w14:textId="77777777" w:rsidR="00EB2D2E" w:rsidRDefault="00EB2D2E" w:rsidP="004F65CC">
            <w:pPr>
              <w:pStyle w:val="Footer"/>
            </w:pPr>
          </w:p>
          <w:p w14:paraId="7952F1B9" w14:textId="77777777" w:rsidR="00180E20" w:rsidRDefault="004F65CC" w:rsidP="00702037">
            <w:pPr>
              <w:pStyle w:val="Footer"/>
              <w:jc w:val="right"/>
            </w:pPr>
            <w:r w:rsidRPr="00702037">
              <w:rPr>
                <w:b/>
              </w:rPr>
              <w:t>Prepared By</w:t>
            </w:r>
            <w:r>
              <w:t xml:space="preserve">: </w:t>
            </w:r>
            <w:r w:rsidR="00180E20">
              <w:t xml:space="preserve">Karen Hicks, Director of Assessment </w:t>
            </w:r>
          </w:p>
          <w:p w14:paraId="1E0C56EE" w14:textId="3130F22F" w:rsidR="004F65CC" w:rsidRDefault="00180E20" w:rsidP="00702037">
            <w:pPr>
              <w:pStyle w:val="Footer"/>
              <w:jc w:val="right"/>
            </w:pPr>
            <w:r>
              <w:t xml:space="preserve">Under the direction of the </w:t>
            </w:r>
            <w:r w:rsidR="004F65CC">
              <w:t>Committee for Assessing Student Learning (CASL)</w:t>
            </w:r>
          </w:p>
          <w:p w14:paraId="5A6FA72D" w14:textId="6D5503A3" w:rsidR="00007642" w:rsidRPr="00007642" w:rsidRDefault="00007642" w:rsidP="00EA1B8B">
            <w:pPr>
              <w:pStyle w:val="Footer"/>
              <w:jc w:val="right"/>
              <w:rPr>
                <w:i/>
                <w:sz w:val="18"/>
                <w:szCs w:val="18"/>
              </w:rPr>
            </w:pPr>
            <w:r w:rsidRPr="00007642">
              <w:rPr>
                <w:i/>
                <w:sz w:val="18"/>
                <w:szCs w:val="18"/>
              </w:rPr>
              <w:t>Last updated 03/2</w:t>
            </w:r>
            <w:r w:rsidR="00EA1B8B">
              <w:rPr>
                <w:i/>
                <w:sz w:val="18"/>
                <w:szCs w:val="18"/>
              </w:rPr>
              <w:t>5</w:t>
            </w:r>
            <w:r w:rsidRPr="00007642">
              <w:rPr>
                <w:i/>
                <w:sz w:val="18"/>
                <w:szCs w:val="18"/>
              </w:rPr>
              <w:t>/2016</w:t>
            </w:r>
          </w:p>
        </w:tc>
      </w:tr>
    </w:tbl>
    <w:sdt>
      <w:sdtPr>
        <w:rPr>
          <w:rFonts w:asciiTheme="minorHAnsi" w:hAnsiTheme="minorHAnsi"/>
          <w:color w:val="auto"/>
          <w:sz w:val="24"/>
        </w:rPr>
        <w:id w:val="-857887824"/>
        <w:docPartObj>
          <w:docPartGallery w:val="Table of Contents"/>
          <w:docPartUnique/>
        </w:docPartObj>
      </w:sdtPr>
      <w:sdtEndPr>
        <w:rPr>
          <w:rFonts w:ascii="Times New Roman" w:hAnsi="Times New Roman"/>
          <w:bCs/>
          <w:noProof/>
        </w:rPr>
      </w:sdtEndPr>
      <w:sdtContent>
        <w:p w14:paraId="01B5C5B5" w14:textId="77777777" w:rsidR="006F61EB" w:rsidRPr="006F61EB" w:rsidRDefault="006F61EB" w:rsidP="006F61EB">
          <w:pPr>
            <w:pStyle w:val="TOCHeading"/>
          </w:pPr>
          <w:r>
            <w:t>Table of Contents</w:t>
          </w:r>
        </w:p>
        <w:p w14:paraId="582636DF" w14:textId="77777777" w:rsidR="008724CE" w:rsidRDefault="006F61EB">
          <w:pPr>
            <w:pStyle w:val="TOC1"/>
            <w:rPr>
              <w:rFonts w:asciiTheme="minorHAnsi" w:hAnsiTheme="minorHAnsi"/>
              <w:noProof/>
              <w:color w:val="auto"/>
              <w:sz w:val="22"/>
              <w:szCs w:val="22"/>
            </w:rPr>
          </w:pPr>
          <w:r w:rsidRPr="0014508F">
            <w:fldChar w:fldCharType="begin"/>
          </w:r>
          <w:r w:rsidRPr="0014508F">
            <w:instrText xml:space="preserve"> TOC \o "1-3" \h \z \u </w:instrText>
          </w:r>
          <w:r w:rsidRPr="0014508F">
            <w:fldChar w:fldCharType="separate"/>
          </w:r>
          <w:hyperlink w:anchor="_Toc445381103" w:history="1">
            <w:r w:rsidR="008724CE" w:rsidRPr="00D648FB">
              <w:rPr>
                <w:rStyle w:val="Hyperlink"/>
                <w:b/>
                <w:noProof/>
              </w:rPr>
              <w:t>Executive Summary</w:t>
            </w:r>
            <w:r w:rsidR="008724CE">
              <w:rPr>
                <w:noProof/>
                <w:webHidden/>
              </w:rPr>
              <w:tab/>
            </w:r>
            <w:r w:rsidR="008724CE">
              <w:rPr>
                <w:noProof/>
                <w:webHidden/>
              </w:rPr>
              <w:fldChar w:fldCharType="begin"/>
            </w:r>
            <w:r w:rsidR="008724CE">
              <w:rPr>
                <w:noProof/>
                <w:webHidden/>
              </w:rPr>
              <w:instrText xml:space="preserve"> PAGEREF _Toc445381103 \h </w:instrText>
            </w:r>
            <w:r w:rsidR="008724CE">
              <w:rPr>
                <w:noProof/>
                <w:webHidden/>
              </w:rPr>
            </w:r>
            <w:r w:rsidR="008724CE">
              <w:rPr>
                <w:noProof/>
                <w:webHidden/>
              </w:rPr>
              <w:fldChar w:fldCharType="separate"/>
            </w:r>
            <w:r w:rsidR="008724CE">
              <w:rPr>
                <w:noProof/>
                <w:webHidden/>
              </w:rPr>
              <w:t>1</w:t>
            </w:r>
            <w:r w:rsidR="008724CE">
              <w:rPr>
                <w:noProof/>
                <w:webHidden/>
              </w:rPr>
              <w:fldChar w:fldCharType="end"/>
            </w:r>
          </w:hyperlink>
        </w:p>
        <w:p w14:paraId="4D13DB0F" w14:textId="77777777" w:rsidR="008724CE" w:rsidRDefault="00910288">
          <w:pPr>
            <w:pStyle w:val="TOC1"/>
            <w:rPr>
              <w:rFonts w:asciiTheme="minorHAnsi" w:hAnsiTheme="minorHAnsi"/>
              <w:noProof/>
              <w:color w:val="auto"/>
              <w:sz w:val="22"/>
              <w:szCs w:val="22"/>
            </w:rPr>
          </w:pPr>
          <w:hyperlink w:anchor="_Toc445381104" w:history="1">
            <w:r w:rsidR="008724CE" w:rsidRPr="00D648FB">
              <w:rPr>
                <w:rStyle w:val="Hyperlink"/>
                <w:b/>
                <w:noProof/>
              </w:rPr>
              <w:t>Assessment Dashboard</w:t>
            </w:r>
            <w:r w:rsidR="008724CE">
              <w:rPr>
                <w:noProof/>
                <w:webHidden/>
              </w:rPr>
              <w:tab/>
            </w:r>
            <w:r w:rsidR="008724CE">
              <w:rPr>
                <w:noProof/>
                <w:webHidden/>
              </w:rPr>
              <w:fldChar w:fldCharType="begin"/>
            </w:r>
            <w:r w:rsidR="008724CE">
              <w:rPr>
                <w:noProof/>
                <w:webHidden/>
              </w:rPr>
              <w:instrText xml:space="preserve"> PAGEREF _Toc445381104 \h </w:instrText>
            </w:r>
            <w:r w:rsidR="008724CE">
              <w:rPr>
                <w:noProof/>
                <w:webHidden/>
              </w:rPr>
            </w:r>
            <w:r w:rsidR="008724CE">
              <w:rPr>
                <w:noProof/>
                <w:webHidden/>
              </w:rPr>
              <w:fldChar w:fldCharType="separate"/>
            </w:r>
            <w:r w:rsidR="008724CE">
              <w:rPr>
                <w:noProof/>
                <w:webHidden/>
              </w:rPr>
              <w:t>2</w:t>
            </w:r>
            <w:r w:rsidR="008724CE">
              <w:rPr>
                <w:noProof/>
                <w:webHidden/>
              </w:rPr>
              <w:fldChar w:fldCharType="end"/>
            </w:r>
          </w:hyperlink>
        </w:p>
        <w:p w14:paraId="0DC7A452" w14:textId="77777777" w:rsidR="008724CE" w:rsidRDefault="00910288">
          <w:pPr>
            <w:pStyle w:val="TOC1"/>
            <w:rPr>
              <w:rFonts w:asciiTheme="minorHAnsi" w:hAnsiTheme="minorHAnsi"/>
              <w:noProof/>
              <w:color w:val="auto"/>
              <w:sz w:val="22"/>
              <w:szCs w:val="22"/>
            </w:rPr>
          </w:pPr>
          <w:hyperlink w:anchor="_Toc445381105" w:history="1">
            <w:r w:rsidR="008724CE" w:rsidRPr="00D648FB">
              <w:rPr>
                <w:rStyle w:val="Hyperlink"/>
                <w:b/>
                <w:noProof/>
              </w:rPr>
              <w:t>LCC Assessment Results</w:t>
            </w:r>
            <w:r w:rsidR="008724CE">
              <w:rPr>
                <w:noProof/>
                <w:webHidden/>
              </w:rPr>
              <w:tab/>
            </w:r>
            <w:r w:rsidR="008724CE">
              <w:rPr>
                <w:noProof/>
                <w:webHidden/>
              </w:rPr>
              <w:fldChar w:fldCharType="begin"/>
            </w:r>
            <w:r w:rsidR="008724CE">
              <w:rPr>
                <w:noProof/>
                <w:webHidden/>
              </w:rPr>
              <w:instrText xml:space="preserve"> PAGEREF _Toc445381105 \h </w:instrText>
            </w:r>
            <w:r w:rsidR="008724CE">
              <w:rPr>
                <w:noProof/>
                <w:webHidden/>
              </w:rPr>
            </w:r>
            <w:r w:rsidR="008724CE">
              <w:rPr>
                <w:noProof/>
                <w:webHidden/>
              </w:rPr>
              <w:fldChar w:fldCharType="separate"/>
            </w:r>
            <w:r w:rsidR="008724CE">
              <w:rPr>
                <w:noProof/>
                <w:webHidden/>
              </w:rPr>
              <w:t>3</w:t>
            </w:r>
            <w:r w:rsidR="008724CE">
              <w:rPr>
                <w:noProof/>
                <w:webHidden/>
              </w:rPr>
              <w:fldChar w:fldCharType="end"/>
            </w:r>
          </w:hyperlink>
        </w:p>
        <w:p w14:paraId="3EF79769" w14:textId="77777777" w:rsidR="008724CE" w:rsidRDefault="00910288">
          <w:pPr>
            <w:pStyle w:val="TOC2"/>
            <w:tabs>
              <w:tab w:val="right" w:leader="dot" w:pos="9350"/>
            </w:tabs>
            <w:rPr>
              <w:rFonts w:asciiTheme="minorHAnsi" w:hAnsiTheme="minorHAnsi"/>
              <w:noProof/>
              <w:sz w:val="22"/>
              <w:szCs w:val="22"/>
            </w:rPr>
          </w:pPr>
          <w:hyperlink w:anchor="_Toc445381106" w:history="1">
            <w:r w:rsidR="008724CE" w:rsidRPr="00D648FB">
              <w:rPr>
                <w:rStyle w:val="Hyperlink"/>
                <w:noProof/>
              </w:rPr>
              <w:t>Institutional-Level Assessment Results</w:t>
            </w:r>
            <w:r w:rsidR="008724CE">
              <w:rPr>
                <w:noProof/>
                <w:webHidden/>
              </w:rPr>
              <w:tab/>
            </w:r>
            <w:r w:rsidR="008724CE">
              <w:rPr>
                <w:noProof/>
                <w:webHidden/>
              </w:rPr>
              <w:fldChar w:fldCharType="begin"/>
            </w:r>
            <w:r w:rsidR="008724CE">
              <w:rPr>
                <w:noProof/>
                <w:webHidden/>
              </w:rPr>
              <w:instrText xml:space="preserve"> PAGEREF _Toc445381106 \h </w:instrText>
            </w:r>
            <w:r w:rsidR="008724CE">
              <w:rPr>
                <w:noProof/>
                <w:webHidden/>
              </w:rPr>
            </w:r>
            <w:r w:rsidR="008724CE">
              <w:rPr>
                <w:noProof/>
                <w:webHidden/>
              </w:rPr>
              <w:fldChar w:fldCharType="separate"/>
            </w:r>
            <w:r w:rsidR="008724CE">
              <w:rPr>
                <w:noProof/>
                <w:webHidden/>
              </w:rPr>
              <w:t>3</w:t>
            </w:r>
            <w:r w:rsidR="008724CE">
              <w:rPr>
                <w:noProof/>
                <w:webHidden/>
              </w:rPr>
              <w:fldChar w:fldCharType="end"/>
            </w:r>
          </w:hyperlink>
        </w:p>
        <w:p w14:paraId="3B7864C5" w14:textId="77777777" w:rsidR="008724CE" w:rsidRDefault="00910288">
          <w:pPr>
            <w:pStyle w:val="TOC2"/>
            <w:tabs>
              <w:tab w:val="right" w:leader="dot" w:pos="9350"/>
            </w:tabs>
            <w:rPr>
              <w:rFonts w:asciiTheme="minorHAnsi" w:hAnsiTheme="minorHAnsi"/>
              <w:noProof/>
              <w:sz w:val="22"/>
              <w:szCs w:val="22"/>
            </w:rPr>
          </w:pPr>
          <w:hyperlink w:anchor="_Toc445381107" w:history="1">
            <w:r w:rsidR="008724CE" w:rsidRPr="00D648FB">
              <w:rPr>
                <w:rStyle w:val="Hyperlink"/>
                <w:noProof/>
              </w:rPr>
              <w:t>Program-Level Assessment Results</w:t>
            </w:r>
            <w:r w:rsidR="008724CE">
              <w:rPr>
                <w:noProof/>
                <w:webHidden/>
              </w:rPr>
              <w:tab/>
            </w:r>
            <w:r w:rsidR="008724CE">
              <w:rPr>
                <w:noProof/>
                <w:webHidden/>
              </w:rPr>
              <w:fldChar w:fldCharType="begin"/>
            </w:r>
            <w:r w:rsidR="008724CE">
              <w:rPr>
                <w:noProof/>
                <w:webHidden/>
              </w:rPr>
              <w:instrText xml:space="preserve"> PAGEREF _Toc445381107 \h </w:instrText>
            </w:r>
            <w:r w:rsidR="008724CE">
              <w:rPr>
                <w:noProof/>
                <w:webHidden/>
              </w:rPr>
            </w:r>
            <w:r w:rsidR="008724CE">
              <w:rPr>
                <w:noProof/>
                <w:webHidden/>
              </w:rPr>
              <w:fldChar w:fldCharType="separate"/>
            </w:r>
            <w:r w:rsidR="008724CE">
              <w:rPr>
                <w:noProof/>
                <w:webHidden/>
              </w:rPr>
              <w:t>6</w:t>
            </w:r>
            <w:r w:rsidR="008724CE">
              <w:rPr>
                <w:noProof/>
                <w:webHidden/>
              </w:rPr>
              <w:fldChar w:fldCharType="end"/>
            </w:r>
          </w:hyperlink>
        </w:p>
        <w:p w14:paraId="14BEBA4D" w14:textId="77777777" w:rsidR="008724CE" w:rsidRDefault="00910288">
          <w:pPr>
            <w:pStyle w:val="TOC2"/>
            <w:tabs>
              <w:tab w:val="right" w:leader="dot" w:pos="9350"/>
            </w:tabs>
            <w:rPr>
              <w:rFonts w:asciiTheme="minorHAnsi" w:hAnsiTheme="minorHAnsi"/>
              <w:noProof/>
              <w:sz w:val="22"/>
              <w:szCs w:val="22"/>
            </w:rPr>
          </w:pPr>
          <w:hyperlink w:anchor="_Toc445381108" w:history="1">
            <w:r w:rsidR="008724CE" w:rsidRPr="00D648FB">
              <w:rPr>
                <w:rStyle w:val="Hyperlink"/>
                <w:noProof/>
              </w:rPr>
              <w:t>Course-Level Assessment Results</w:t>
            </w:r>
            <w:r w:rsidR="008724CE">
              <w:rPr>
                <w:noProof/>
                <w:webHidden/>
              </w:rPr>
              <w:tab/>
            </w:r>
            <w:r w:rsidR="008724CE">
              <w:rPr>
                <w:noProof/>
                <w:webHidden/>
              </w:rPr>
              <w:fldChar w:fldCharType="begin"/>
            </w:r>
            <w:r w:rsidR="008724CE">
              <w:rPr>
                <w:noProof/>
                <w:webHidden/>
              </w:rPr>
              <w:instrText xml:space="preserve"> PAGEREF _Toc445381108 \h </w:instrText>
            </w:r>
            <w:r w:rsidR="008724CE">
              <w:rPr>
                <w:noProof/>
                <w:webHidden/>
              </w:rPr>
            </w:r>
            <w:r w:rsidR="008724CE">
              <w:rPr>
                <w:noProof/>
                <w:webHidden/>
              </w:rPr>
              <w:fldChar w:fldCharType="separate"/>
            </w:r>
            <w:r w:rsidR="008724CE">
              <w:rPr>
                <w:noProof/>
                <w:webHidden/>
              </w:rPr>
              <w:t>11</w:t>
            </w:r>
            <w:r w:rsidR="008724CE">
              <w:rPr>
                <w:noProof/>
                <w:webHidden/>
              </w:rPr>
              <w:fldChar w:fldCharType="end"/>
            </w:r>
          </w:hyperlink>
        </w:p>
        <w:p w14:paraId="73FDE28D" w14:textId="77777777" w:rsidR="008724CE" w:rsidRDefault="00910288">
          <w:pPr>
            <w:pStyle w:val="TOC2"/>
            <w:tabs>
              <w:tab w:val="right" w:leader="dot" w:pos="9350"/>
            </w:tabs>
            <w:rPr>
              <w:rFonts w:asciiTheme="minorHAnsi" w:hAnsiTheme="minorHAnsi"/>
              <w:noProof/>
              <w:sz w:val="22"/>
              <w:szCs w:val="22"/>
            </w:rPr>
          </w:pPr>
          <w:hyperlink w:anchor="_Toc445381109" w:history="1">
            <w:r w:rsidR="008724CE" w:rsidRPr="00D648FB">
              <w:rPr>
                <w:rStyle w:val="Hyperlink"/>
                <w:noProof/>
              </w:rPr>
              <w:t>Pilot Studies Results</w:t>
            </w:r>
            <w:r w:rsidR="008724CE">
              <w:rPr>
                <w:noProof/>
                <w:webHidden/>
              </w:rPr>
              <w:tab/>
            </w:r>
            <w:r w:rsidR="008724CE">
              <w:rPr>
                <w:noProof/>
                <w:webHidden/>
              </w:rPr>
              <w:fldChar w:fldCharType="begin"/>
            </w:r>
            <w:r w:rsidR="008724CE">
              <w:rPr>
                <w:noProof/>
                <w:webHidden/>
              </w:rPr>
              <w:instrText xml:space="preserve"> PAGEREF _Toc445381109 \h </w:instrText>
            </w:r>
            <w:r w:rsidR="008724CE">
              <w:rPr>
                <w:noProof/>
                <w:webHidden/>
              </w:rPr>
            </w:r>
            <w:r w:rsidR="008724CE">
              <w:rPr>
                <w:noProof/>
                <w:webHidden/>
              </w:rPr>
              <w:fldChar w:fldCharType="separate"/>
            </w:r>
            <w:r w:rsidR="008724CE">
              <w:rPr>
                <w:noProof/>
                <w:webHidden/>
              </w:rPr>
              <w:t>12</w:t>
            </w:r>
            <w:r w:rsidR="008724CE">
              <w:rPr>
                <w:noProof/>
                <w:webHidden/>
              </w:rPr>
              <w:fldChar w:fldCharType="end"/>
            </w:r>
          </w:hyperlink>
        </w:p>
        <w:p w14:paraId="6DE93F78" w14:textId="10D1811C" w:rsidR="008724CE" w:rsidRDefault="00910288">
          <w:pPr>
            <w:pStyle w:val="TOC1"/>
            <w:rPr>
              <w:rFonts w:asciiTheme="minorHAnsi" w:hAnsiTheme="minorHAnsi"/>
              <w:noProof/>
              <w:color w:val="auto"/>
              <w:sz w:val="22"/>
              <w:szCs w:val="22"/>
            </w:rPr>
          </w:pPr>
          <w:hyperlink w:anchor="_Toc445381110" w:history="1">
            <w:r w:rsidR="008724CE" w:rsidRPr="00D648FB">
              <w:rPr>
                <w:rStyle w:val="Hyperlink"/>
                <w:b/>
                <w:noProof/>
              </w:rPr>
              <w:t xml:space="preserve">Assessment </w:t>
            </w:r>
            <w:r w:rsidR="00857EEC">
              <w:rPr>
                <w:rStyle w:val="Hyperlink"/>
                <w:b/>
                <w:noProof/>
              </w:rPr>
              <w:t>Plan</w:t>
            </w:r>
            <w:r w:rsidR="008724CE" w:rsidRPr="00D648FB">
              <w:rPr>
                <w:rStyle w:val="Hyperlink"/>
                <w:b/>
                <w:noProof/>
              </w:rPr>
              <w:t xml:space="preserve"> Development</w:t>
            </w:r>
            <w:r w:rsidR="008724CE">
              <w:rPr>
                <w:noProof/>
                <w:webHidden/>
              </w:rPr>
              <w:tab/>
            </w:r>
            <w:r w:rsidR="008724CE">
              <w:rPr>
                <w:noProof/>
                <w:webHidden/>
              </w:rPr>
              <w:fldChar w:fldCharType="begin"/>
            </w:r>
            <w:r w:rsidR="008724CE">
              <w:rPr>
                <w:noProof/>
                <w:webHidden/>
              </w:rPr>
              <w:instrText xml:space="preserve"> PAGEREF _Toc445381110 \h </w:instrText>
            </w:r>
            <w:r w:rsidR="008724CE">
              <w:rPr>
                <w:noProof/>
                <w:webHidden/>
              </w:rPr>
            </w:r>
            <w:r w:rsidR="008724CE">
              <w:rPr>
                <w:noProof/>
                <w:webHidden/>
              </w:rPr>
              <w:fldChar w:fldCharType="separate"/>
            </w:r>
            <w:r w:rsidR="008724CE">
              <w:rPr>
                <w:noProof/>
                <w:webHidden/>
              </w:rPr>
              <w:t>15</w:t>
            </w:r>
            <w:r w:rsidR="008724CE">
              <w:rPr>
                <w:noProof/>
                <w:webHidden/>
              </w:rPr>
              <w:fldChar w:fldCharType="end"/>
            </w:r>
          </w:hyperlink>
        </w:p>
        <w:p w14:paraId="2834CF5D" w14:textId="14CB0BE8" w:rsidR="008724CE" w:rsidRDefault="00910288">
          <w:pPr>
            <w:pStyle w:val="TOC1"/>
            <w:rPr>
              <w:rFonts w:asciiTheme="minorHAnsi" w:hAnsiTheme="minorHAnsi"/>
              <w:noProof/>
              <w:color w:val="auto"/>
              <w:sz w:val="22"/>
              <w:szCs w:val="22"/>
            </w:rPr>
          </w:pPr>
          <w:hyperlink w:anchor="_Toc445381111" w:history="1">
            <w:r w:rsidR="008724CE" w:rsidRPr="00D648FB">
              <w:rPr>
                <w:rStyle w:val="Hyperlink"/>
                <w:b/>
                <w:noProof/>
              </w:rPr>
              <w:t xml:space="preserve">Assessment </w:t>
            </w:r>
            <w:r w:rsidR="00857EEC">
              <w:rPr>
                <w:rStyle w:val="Hyperlink"/>
                <w:b/>
                <w:noProof/>
              </w:rPr>
              <w:t>Plan</w:t>
            </w:r>
            <w:r w:rsidR="008724CE" w:rsidRPr="00D648FB">
              <w:rPr>
                <w:rStyle w:val="Hyperlink"/>
                <w:b/>
                <w:noProof/>
              </w:rPr>
              <w:t xml:space="preserve"> Measurement Strategy</w:t>
            </w:r>
            <w:r w:rsidR="008724CE">
              <w:rPr>
                <w:noProof/>
                <w:webHidden/>
              </w:rPr>
              <w:tab/>
            </w:r>
            <w:r w:rsidR="008724CE">
              <w:rPr>
                <w:noProof/>
                <w:webHidden/>
              </w:rPr>
              <w:fldChar w:fldCharType="begin"/>
            </w:r>
            <w:r w:rsidR="008724CE">
              <w:rPr>
                <w:noProof/>
                <w:webHidden/>
              </w:rPr>
              <w:instrText xml:space="preserve"> PAGEREF _Toc445381111 \h </w:instrText>
            </w:r>
            <w:r w:rsidR="008724CE">
              <w:rPr>
                <w:noProof/>
                <w:webHidden/>
              </w:rPr>
            </w:r>
            <w:r w:rsidR="008724CE">
              <w:rPr>
                <w:noProof/>
                <w:webHidden/>
              </w:rPr>
              <w:fldChar w:fldCharType="separate"/>
            </w:r>
            <w:r w:rsidR="008724CE">
              <w:rPr>
                <w:noProof/>
                <w:webHidden/>
              </w:rPr>
              <w:t>19</w:t>
            </w:r>
            <w:r w:rsidR="008724CE">
              <w:rPr>
                <w:noProof/>
                <w:webHidden/>
              </w:rPr>
              <w:fldChar w:fldCharType="end"/>
            </w:r>
          </w:hyperlink>
        </w:p>
        <w:p w14:paraId="0D03E480" w14:textId="77777777" w:rsidR="008724CE" w:rsidRDefault="00910288">
          <w:pPr>
            <w:pStyle w:val="TOC1"/>
            <w:rPr>
              <w:rFonts w:asciiTheme="minorHAnsi" w:hAnsiTheme="minorHAnsi"/>
              <w:noProof/>
              <w:color w:val="auto"/>
              <w:sz w:val="22"/>
              <w:szCs w:val="22"/>
            </w:rPr>
          </w:pPr>
          <w:hyperlink w:anchor="_Toc445381112" w:history="1">
            <w:r w:rsidR="008724CE" w:rsidRPr="00D648FB">
              <w:rPr>
                <w:rStyle w:val="Hyperlink"/>
                <w:b/>
                <w:noProof/>
              </w:rPr>
              <w:t>References</w:t>
            </w:r>
            <w:r w:rsidR="008724CE">
              <w:rPr>
                <w:noProof/>
                <w:webHidden/>
              </w:rPr>
              <w:tab/>
            </w:r>
            <w:r w:rsidR="008724CE">
              <w:rPr>
                <w:noProof/>
                <w:webHidden/>
              </w:rPr>
              <w:fldChar w:fldCharType="begin"/>
            </w:r>
            <w:r w:rsidR="008724CE">
              <w:rPr>
                <w:noProof/>
                <w:webHidden/>
              </w:rPr>
              <w:instrText xml:space="preserve"> PAGEREF _Toc445381112 \h </w:instrText>
            </w:r>
            <w:r w:rsidR="008724CE">
              <w:rPr>
                <w:noProof/>
                <w:webHidden/>
              </w:rPr>
            </w:r>
            <w:r w:rsidR="008724CE">
              <w:rPr>
                <w:noProof/>
                <w:webHidden/>
              </w:rPr>
              <w:fldChar w:fldCharType="separate"/>
            </w:r>
            <w:r w:rsidR="008724CE">
              <w:rPr>
                <w:noProof/>
                <w:webHidden/>
              </w:rPr>
              <w:t>20</w:t>
            </w:r>
            <w:r w:rsidR="008724CE">
              <w:rPr>
                <w:noProof/>
                <w:webHidden/>
              </w:rPr>
              <w:fldChar w:fldCharType="end"/>
            </w:r>
          </w:hyperlink>
        </w:p>
        <w:p w14:paraId="72017543" w14:textId="77777777" w:rsidR="006F61EB" w:rsidRPr="0014508F" w:rsidRDefault="006F61EB">
          <w:r w:rsidRPr="0014508F">
            <w:rPr>
              <w:bCs/>
              <w:noProof/>
            </w:rPr>
            <w:fldChar w:fldCharType="end"/>
          </w:r>
        </w:p>
      </w:sdtContent>
    </w:sdt>
    <w:p w14:paraId="3CFC7870" w14:textId="77777777" w:rsidR="006F61EB" w:rsidRDefault="006F61EB"/>
    <w:p w14:paraId="3CA52626" w14:textId="77777777" w:rsidR="006F61EB" w:rsidRDefault="006F61EB">
      <w:pPr>
        <w:sectPr w:rsidR="006F61EB" w:rsidSect="006F61EB">
          <w:headerReference w:type="default" r:id="rId11"/>
          <w:footerReference w:type="default" r:id="rId12"/>
          <w:pgSz w:w="12240" w:h="15840" w:code="1"/>
          <w:pgMar w:top="1440" w:right="1440" w:bottom="2160" w:left="1440" w:header="1296" w:footer="1296" w:gutter="0"/>
          <w:pgNumType w:fmt="lowerRoman" w:start="1"/>
          <w:cols w:space="720"/>
          <w:titlePg/>
          <w:docGrid w:linePitch="360"/>
        </w:sectPr>
      </w:pPr>
    </w:p>
    <w:p w14:paraId="51FF7AFA" w14:textId="511DA5E1" w:rsidR="00EF688B" w:rsidRPr="007F06CC" w:rsidRDefault="00EF688B" w:rsidP="00332CAD">
      <w:pPr>
        <w:pStyle w:val="Heading1"/>
        <w:rPr>
          <w:b/>
          <w:color w:val="983620" w:themeColor="accent2"/>
        </w:rPr>
      </w:pPr>
      <w:bookmarkStart w:id="1" w:name="_Toc445381103"/>
      <w:r w:rsidRPr="007F06CC">
        <w:rPr>
          <w:b/>
          <w:color w:val="983620" w:themeColor="accent2"/>
        </w:rPr>
        <w:lastRenderedPageBreak/>
        <w:t>Executive Summary</w:t>
      </w:r>
      <w:bookmarkEnd w:id="1"/>
      <w:r w:rsidRPr="007F06CC">
        <w:rPr>
          <w:b/>
          <w:color w:val="983620" w:themeColor="accent2"/>
        </w:rPr>
        <w:t xml:space="preserve"> </w:t>
      </w:r>
    </w:p>
    <w:p w14:paraId="6FFFB2F3" w14:textId="77777777" w:rsidR="00400269" w:rsidRDefault="00400269" w:rsidP="00400269">
      <w:pPr>
        <w:pStyle w:val="NoSpacing"/>
      </w:pPr>
    </w:p>
    <w:p w14:paraId="08DC97C9" w14:textId="1D72686C" w:rsidR="00B977A5" w:rsidRDefault="007130D1" w:rsidP="00400269">
      <w:pPr>
        <w:pStyle w:val="NoSpacing"/>
      </w:pPr>
      <w:r>
        <w:t>Over the last two semesters,</w:t>
      </w:r>
      <w:r w:rsidR="00DD48B2">
        <w:t xml:space="preserve"> LCC Programs of Study reported </w:t>
      </w:r>
      <w:r w:rsidR="00223B1C">
        <w:t>program-level learning outcomes</w:t>
      </w:r>
      <w:r>
        <w:t>, methods of assessment, and connections from program-level learning outcomes to a common set of institutional learning outcomes</w:t>
      </w:r>
      <w:r w:rsidR="00DD48B2">
        <w:t>. This evidence was analyzed by</w:t>
      </w:r>
      <w:r>
        <w:t xml:space="preserve"> the Center for Data Science (CDS) and Committee for Assessing Student Lea</w:t>
      </w:r>
      <w:r w:rsidR="00DD48B2">
        <w:t xml:space="preserve">rning (CASL) to </w:t>
      </w:r>
      <w:r w:rsidR="00B977A5">
        <w:t>gain insight into:</w:t>
      </w:r>
    </w:p>
    <w:p w14:paraId="257E3973" w14:textId="77777777" w:rsidR="00B977A5" w:rsidRDefault="00B977A5" w:rsidP="00400269">
      <w:pPr>
        <w:pStyle w:val="NoSpacing"/>
      </w:pPr>
    </w:p>
    <w:p w14:paraId="7D308DF5" w14:textId="77777777" w:rsidR="007E037F" w:rsidRPr="008B441F" w:rsidRDefault="008B441F" w:rsidP="008B441F">
      <w:pPr>
        <w:pStyle w:val="NoSpacing"/>
        <w:numPr>
          <w:ilvl w:val="0"/>
          <w:numId w:val="19"/>
        </w:numPr>
        <w:rPr>
          <w:sz w:val="22"/>
          <w:szCs w:val="22"/>
        </w:rPr>
      </w:pPr>
      <w:r w:rsidRPr="008B441F">
        <w:rPr>
          <w:sz w:val="22"/>
          <w:szCs w:val="22"/>
        </w:rPr>
        <w:t>How we align program curriculums to a common set of institutional learning outcomes</w:t>
      </w:r>
    </w:p>
    <w:p w14:paraId="4AC2ED82" w14:textId="77777777" w:rsidR="007E037F" w:rsidRPr="008B441F" w:rsidRDefault="008B441F" w:rsidP="008B441F">
      <w:pPr>
        <w:pStyle w:val="NoSpacing"/>
        <w:numPr>
          <w:ilvl w:val="0"/>
          <w:numId w:val="19"/>
        </w:numPr>
        <w:rPr>
          <w:sz w:val="22"/>
          <w:szCs w:val="22"/>
        </w:rPr>
      </w:pPr>
      <w:r w:rsidRPr="008B441F">
        <w:rPr>
          <w:sz w:val="22"/>
          <w:szCs w:val="22"/>
        </w:rPr>
        <w:t>What we expect our students to learn and to what degree</w:t>
      </w:r>
    </w:p>
    <w:p w14:paraId="331E77A8" w14:textId="77777777" w:rsidR="007E037F" w:rsidRPr="008B441F" w:rsidRDefault="008B441F" w:rsidP="008B441F">
      <w:pPr>
        <w:pStyle w:val="NoSpacing"/>
        <w:numPr>
          <w:ilvl w:val="0"/>
          <w:numId w:val="19"/>
        </w:numPr>
        <w:rPr>
          <w:sz w:val="22"/>
          <w:szCs w:val="22"/>
        </w:rPr>
      </w:pPr>
      <w:r w:rsidRPr="008B441F">
        <w:rPr>
          <w:sz w:val="22"/>
          <w:szCs w:val="22"/>
        </w:rPr>
        <w:t>How we assess our students’ learning throughout a curriculum</w:t>
      </w:r>
    </w:p>
    <w:p w14:paraId="32E1434C" w14:textId="77777777" w:rsidR="007E037F" w:rsidRPr="008B441F" w:rsidRDefault="008B441F" w:rsidP="008B441F">
      <w:pPr>
        <w:pStyle w:val="NoSpacing"/>
        <w:numPr>
          <w:ilvl w:val="0"/>
          <w:numId w:val="19"/>
        </w:numPr>
        <w:rPr>
          <w:sz w:val="22"/>
          <w:szCs w:val="22"/>
        </w:rPr>
      </w:pPr>
      <w:r w:rsidRPr="008B441F">
        <w:rPr>
          <w:sz w:val="22"/>
          <w:szCs w:val="22"/>
        </w:rPr>
        <w:t>How well those assessment methods are aligned to our learning expectations</w:t>
      </w:r>
    </w:p>
    <w:p w14:paraId="06DF773B" w14:textId="77777777" w:rsidR="007E037F" w:rsidRPr="008B441F" w:rsidRDefault="008B441F" w:rsidP="008B441F">
      <w:pPr>
        <w:pStyle w:val="NoSpacing"/>
        <w:numPr>
          <w:ilvl w:val="0"/>
          <w:numId w:val="19"/>
        </w:numPr>
        <w:rPr>
          <w:sz w:val="22"/>
          <w:szCs w:val="22"/>
        </w:rPr>
      </w:pPr>
      <w:r w:rsidRPr="008B441F">
        <w:rPr>
          <w:sz w:val="22"/>
          <w:szCs w:val="22"/>
        </w:rPr>
        <w:t>How our students respond to our methods of assessment, and</w:t>
      </w:r>
    </w:p>
    <w:p w14:paraId="45EDC3E3" w14:textId="77777777" w:rsidR="007E037F" w:rsidRPr="008B441F" w:rsidRDefault="008B441F" w:rsidP="008B441F">
      <w:pPr>
        <w:pStyle w:val="NoSpacing"/>
        <w:numPr>
          <w:ilvl w:val="0"/>
          <w:numId w:val="19"/>
        </w:numPr>
        <w:rPr>
          <w:sz w:val="22"/>
          <w:szCs w:val="22"/>
        </w:rPr>
      </w:pPr>
      <w:r w:rsidRPr="008B441F">
        <w:rPr>
          <w:sz w:val="22"/>
          <w:szCs w:val="22"/>
        </w:rPr>
        <w:t>How well our students are performing with our student learning expectations</w:t>
      </w:r>
    </w:p>
    <w:p w14:paraId="7A471995" w14:textId="77777777" w:rsidR="00B977A5" w:rsidRDefault="00B977A5" w:rsidP="00400269">
      <w:pPr>
        <w:pStyle w:val="NoSpacing"/>
      </w:pPr>
    </w:p>
    <w:p w14:paraId="69D83000" w14:textId="314748BD" w:rsidR="008E144A" w:rsidRDefault="00B977A5" w:rsidP="00400269">
      <w:pPr>
        <w:pStyle w:val="NoSpacing"/>
      </w:pPr>
      <w:r>
        <w:t>The results provide evidence for over three-quarters of Programs of Study reporting alignment between program curriculum and institutional learning outcomes.</w:t>
      </w:r>
      <w:r w:rsidR="008E144A">
        <w:t xml:space="preserve"> Of the possible four institutional-level learning outcomes, LCC places the greatest curriculum emphasis on the development of students’ intellectual and practical skills, followed by integrative and applied learning. </w:t>
      </w:r>
      <w:r w:rsidR="00446D34">
        <w:t xml:space="preserve">LCC students are expected to apply and transfer these intellectual and practical skills inside and outside the classroom. </w:t>
      </w:r>
      <w:r w:rsidR="006C7A7E">
        <w:t>Faculty use this t</w:t>
      </w:r>
      <w:r w:rsidR="00446D34">
        <w:t>eaching pract</w:t>
      </w:r>
      <w:r w:rsidR="00A639A5">
        <w:t xml:space="preserve">ice </w:t>
      </w:r>
      <w:r w:rsidR="006C7A7E">
        <w:t xml:space="preserve">to allow </w:t>
      </w:r>
      <w:r w:rsidR="00A639A5">
        <w:t>student</w:t>
      </w:r>
      <w:r w:rsidR="006C7A7E">
        <w:t>s</w:t>
      </w:r>
      <w:r w:rsidR="00A639A5">
        <w:t xml:space="preserve"> to continually apply the knowledge, skills, abilities, and values that were learned in the classroom to other contexts, such as at home or work. </w:t>
      </w:r>
      <w:r w:rsidR="002A748C">
        <w:t xml:space="preserve">LCC faculty continue this authentic approach to teaching and learning by using </w:t>
      </w:r>
      <w:r w:rsidR="001D6DC2">
        <w:t xml:space="preserve">primarily performance-based assessment methods that are aligned to program-level learning outcomes. </w:t>
      </w:r>
      <w:r w:rsidR="002A748C">
        <w:t>Performance-</w:t>
      </w:r>
      <w:r w:rsidR="00857EEC">
        <w:t>based assessments give students</w:t>
      </w:r>
      <w:r w:rsidR="002A748C">
        <w:t xml:space="preserve"> opportunity to demonstrate their learning by solving problems, making decisions, </w:t>
      </w:r>
      <w:r w:rsidR="00BA7C19">
        <w:t>using critical thinking, creating, and</w:t>
      </w:r>
      <w:r w:rsidR="002A748C">
        <w:t xml:space="preserve"> pr</w:t>
      </w:r>
      <w:r w:rsidR="00BA7C19">
        <w:t>oducing learning artifacts with real world application</w:t>
      </w:r>
      <w:r w:rsidR="00857EEC">
        <w:t>.</w:t>
      </w:r>
      <w:r w:rsidR="00BA7C19">
        <w:t xml:space="preserve"> </w:t>
      </w:r>
    </w:p>
    <w:p w14:paraId="64BEE361" w14:textId="77777777" w:rsidR="00C464D7" w:rsidRDefault="00C464D7" w:rsidP="00400269">
      <w:pPr>
        <w:pStyle w:val="NoSpacing"/>
      </w:pPr>
    </w:p>
    <w:p w14:paraId="332B41B9" w14:textId="6A0430B7" w:rsidR="00C464D7" w:rsidRDefault="00C464D7" w:rsidP="00400269">
      <w:pPr>
        <w:pStyle w:val="NoSpacing"/>
      </w:pPr>
      <w:r>
        <w:t>A summary of the assessment findings follows:</w:t>
      </w:r>
    </w:p>
    <w:p w14:paraId="5E861FE7" w14:textId="77777777" w:rsidR="008E144A" w:rsidRDefault="008E144A" w:rsidP="00400269">
      <w:pPr>
        <w:pStyle w:val="NoSpacing"/>
      </w:pPr>
    </w:p>
    <w:p w14:paraId="01D698CF" w14:textId="1A9BEB6E" w:rsidR="00400269" w:rsidRPr="00C464D7" w:rsidRDefault="00983C18" w:rsidP="00C464D7">
      <w:pPr>
        <w:pStyle w:val="NoSpacing"/>
        <w:ind w:left="1440" w:hanging="1440"/>
        <w:rPr>
          <w:sz w:val="22"/>
          <w:szCs w:val="22"/>
        </w:rPr>
      </w:pPr>
      <w:r w:rsidRPr="00C464D7">
        <w:rPr>
          <w:b/>
          <w:sz w:val="22"/>
          <w:szCs w:val="22"/>
        </w:rPr>
        <w:t>Finding 1:</w:t>
      </w:r>
      <w:r w:rsidRPr="00C464D7">
        <w:rPr>
          <w:sz w:val="22"/>
          <w:szCs w:val="22"/>
        </w:rPr>
        <w:t xml:space="preserve"> </w:t>
      </w:r>
      <w:r w:rsidR="00C464D7">
        <w:rPr>
          <w:sz w:val="22"/>
          <w:szCs w:val="22"/>
        </w:rPr>
        <w:tab/>
      </w:r>
      <w:r w:rsidRPr="00C464D7">
        <w:rPr>
          <w:sz w:val="22"/>
          <w:szCs w:val="22"/>
        </w:rPr>
        <w:t>78% of LCC Programs of Study report curriculum alignment to a common set of institutional learning outcomes</w:t>
      </w:r>
    </w:p>
    <w:p w14:paraId="321244A8" w14:textId="6AA3ADC1" w:rsidR="00983C18" w:rsidRPr="00C464D7" w:rsidRDefault="00983C18" w:rsidP="00C464D7">
      <w:pPr>
        <w:pStyle w:val="NoSpacing"/>
        <w:ind w:left="1440" w:hanging="1440"/>
        <w:rPr>
          <w:sz w:val="22"/>
          <w:szCs w:val="22"/>
        </w:rPr>
      </w:pPr>
      <w:r w:rsidRPr="00C464D7">
        <w:rPr>
          <w:b/>
          <w:sz w:val="22"/>
          <w:szCs w:val="22"/>
        </w:rPr>
        <w:t>Finding 2</w:t>
      </w:r>
      <w:r w:rsidRPr="00C464D7">
        <w:rPr>
          <w:sz w:val="22"/>
          <w:szCs w:val="22"/>
        </w:rPr>
        <w:t xml:space="preserve">: </w:t>
      </w:r>
      <w:r w:rsidR="00C464D7">
        <w:rPr>
          <w:sz w:val="22"/>
          <w:szCs w:val="22"/>
        </w:rPr>
        <w:tab/>
      </w:r>
      <w:r w:rsidRPr="00C464D7">
        <w:rPr>
          <w:sz w:val="22"/>
          <w:szCs w:val="22"/>
        </w:rPr>
        <w:t>LCC Program of Study curriculums place the greatest emphasis on student development of int</w:t>
      </w:r>
      <w:r w:rsidR="00C464D7" w:rsidRPr="00C464D7">
        <w:rPr>
          <w:sz w:val="22"/>
          <w:szCs w:val="22"/>
        </w:rPr>
        <w:t>e</w:t>
      </w:r>
      <w:r w:rsidRPr="00C464D7">
        <w:rPr>
          <w:sz w:val="22"/>
          <w:szCs w:val="22"/>
        </w:rPr>
        <w:t xml:space="preserve">llectual and practical skills.  </w:t>
      </w:r>
    </w:p>
    <w:p w14:paraId="2206D5DF" w14:textId="244DBA4E" w:rsidR="00983C18" w:rsidRPr="00C464D7" w:rsidRDefault="00983C18" w:rsidP="00C464D7">
      <w:pPr>
        <w:pStyle w:val="NoSpacing"/>
        <w:rPr>
          <w:sz w:val="22"/>
          <w:szCs w:val="22"/>
        </w:rPr>
      </w:pPr>
      <w:r w:rsidRPr="00C464D7">
        <w:rPr>
          <w:b/>
          <w:sz w:val="22"/>
          <w:szCs w:val="22"/>
        </w:rPr>
        <w:t>Finding 3</w:t>
      </w:r>
      <w:r w:rsidRPr="00C464D7">
        <w:rPr>
          <w:sz w:val="22"/>
          <w:szCs w:val="22"/>
        </w:rPr>
        <w:t xml:space="preserve">: </w:t>
      </w:r>
      <w:r w:rsidR="00C464D7">
        <w:rPr>
          <w:sz w:val="22"/>
          <w:szCs w:val="22"/>
        </w:rPr>
        <w:tab/>
      </w:r>
      <w:r w:rsidRPr="00C464D7">
        <w:rPr>
          <w:sz w:val="22"/>
          <w:szCs w:val="22"/>
        </w:rPr>
        <w:t xml:space="preserve">Most LCC Programs of Study report program-level learning outcomes for associate-level awards. </w:t>
      </w:r>
    </w:p>
    <w:p w14:paraId="04094386" w14:textId="54F0F91C" w:rsidR="00983C18" w:rsidRPr="00C464D7" w:rsidRDefault="00983C18" w:rsidP="00C464D7">
      <w:pPr>
        <w:pStyle w:val="NoSpacing"/>
        <w:ind w:left="1440" w:hanging="1440"/>
        <w:rPr>
          <w:sz w:val="22"/>
          <w:szCs w:val="22"/>
        </w:rPr>
      </w:pPr>
      <w:r w:rsidRPr="00C464D7">
        <w:rPr>
          <w:b/>
          <w:sz w:val="22"/>
          <w:szCs w:val="22"/>
        </w:rPr>
        <w:t>Finding 4</w:t>
      </w:r>
      <w:r w:rsidRPr="00C464D7">
        <w:rPr>
          <w:sz w:val="22"/>
          <w:szCs w:val="22"/>
        </w:rPr>
        <w:t xml:space="preserve">: </w:t>
      </w:r>
      <w:r w:rsidR="00C464D7">
        <w:rPr>
          <w:sz w:val="22"/>
          <w:szCs w:val="22"/>
        </w:rPr>
        <w:tab/>
      </w:r>
      <w:r w:rsidRPr="00C464D7">
        <w:rPr>
          <w:sz w:val="22"/>
          <w:szCs w:val="22"/>
        </w:rPr>
        <w:t xml:space="preserve">About half of A&amp;S and HHS Program of Study learning outcomes require students to use moderate-level cognitive skills, with the greatest emphasis on applying or transferring learning from the classroom to other contexts. </w:t>
      </w:r>
    </w:p>
    <w:p w14:paraId="539E853C" w14:textId="3B91788B" w:rsidR="00983C18" w:rsidRPr="00C464D7" w:rsidRDefault="00983C18" w:rsidP="00C464D7">
      <w:pPr>
        <w:pStyle w:val="NoSpacing"/>
        <w:rPr>
          <w:sz w:val="22"/>
          <w:szCs w:val="22"/>
        </w:rPr>
      </w:pPr>
      <w:r w:rsidRPr="00C464D7">
        <w:rPr>
          <w:b/>
          <w:sz w:val="22"/>
          <w:szCs w:val="22"/>
        </w:rPr>
        <w:t>Finding 5</w:t>
      </w:r>
      <w:r w:rsidRPr="00C464D7">
        <w:rPr>
          <w:sz w:val="22"/>
          <w:szCs w:val="22"/>
        </w:rPr>
        <w:t xml:space="preserve">: </w:t>
      </w:r>
      <w:r w:rsidR="00C464D7">
        <w:rPr>
          <w:sz w:val="22"/>
          <w:szCs w:val="22"/>
        </w:rPr>
        <w:tab/>
      </w:r>
      <w:r w:rsidRPr="00C464D7">
        <w:rPr>
          <w:sz w:val="22"/>
          <w:szCs w:val="22"/>
        </w:rPr>
        <w:t xml:space="preserve">Most LCC Programs of Study are assessing learning outcomes across the curriculum. </w:t>
      </w:r>
    </w:p>
    <w:p w14:paraId="1CE4AD06" w14:textId="56CA5060" w:rsidR="00983C18" w:rsidRPr="00C464D7" w:rsidRDefault="00983C18" w:rsidP="00C464D7">
      <w:pPr>
        <w:pStyle w:val="NoSpacing"/>
        <w:ind w:left="1440" w:hanging="1440"/>
        <w:rPr>
          <w:sz w:val="22"/>
          <w:szCs w:val="22"/>
        </w:rPr>
      </w:pPr>
      <w:r w:rsidRPr="00C464D7">
        <w:rPr>
          <w:b/>
          <w:sz w:val="22"/>
          <w:szCs w:val="22"/>
        </w:rPr>
        <w:t>Finding 6</w:t>
      </w:r>
      <w:r w:rsidRPr="00C464D7">
        <w:rPr>
          <w:sz w:val="22"/>
          <w:szCs w:val="22"/>
        </w:rPr>
        <w:t xml:space="preserve">: </w:t>
      </w:r>
      <w:r w:rsidR="00C464D7">
        <w:rPr>
          <w:sz w:val="22"/>
          <w:szCs w:val="22"/>
        </w:rPr>
        <w:tab/>
      </w:r>
      <w:r w:rsidRPr="00C464D7">
        <w:rPr>
          <w:sz w:val="22"/>
          <w:szCs w:val="22"/>
        </w:rPr>
        <w:t xml:space="preserve">LCC faculty use performance-based assessments to assess students’ learning across the curriculums. </w:t>
      </w:r>
    </w:p>
    <w:p w14:paraId="0CF70757" w14:textId="2A7A5196" w:rsidR="00983C18" w:rsidRPr="00C464D7" w:rsidRDefault="00983C18" w:rsidP="00C464D7">
      <w:pPr>
        <w:pStyle w:val="NoSpacing"/>
        <w:ind w:left="1440" w:hanging="1440"/>
        <w:rPr>
          <w:sz w:val="22"/>
          <w:szCs w:val="22"/>
        </w:rPr>
      </w:pPr>
      <w:r w:rsidRPr="00C464D7">
        <w:rPr>
          <w:b/>
          <w:sz w:val="22"/>
          <w:szCs w:val="22"/>
        </w:rPr>
        <w:t>Finding 7</w:t>
      </w:r>
      <w:r w:rsidRPr="00C464D7">
        <w:rPr>
          <w:sz w:val="22"/>
          <w:szCs w:val="22"/>
        </w:rPr>
        <w:t xml:space="preserve">: </w:t>
      </w:r>
      <w:r w:rsidR="00C464D7">
        <w:rPr>
          <w:sz w:val="22"/>
          <w:szCs w:val="22"/>
        </w:rPr>
        <w:tab/>
      </w:r>
      <w:r w:rsidRPr="00C464D7">
        <w:rPr>
          <w:sz w:val="22"/>
          <w:szCs w:val="22"/>
        </w:rPr>
        <w:t xml:space="preserve">Over three-quarters of assessment methods selected by LCC faculty are aligned to the Program of Study learning outcome statement. </w:t>
      </w:r>
    </w:p>
    <w:p w14:paraId="28855A4D" w14:textId="51D43E5B" w:rsidR="00E143EF" w:rsidRPr="00C464D7" w:rsidRDefault="00E143EF" w:rsidP="00E143EF">
      <w:pPr>
        <w:pStyle w:val="NoSpacing"/>
        <w:ind w:left="1440" w:hanging="1440"/>
        <w:rPr>
          <w:sz w:val="22"/>
          <w:szCs w:val="22"/>
        </w:rPr>
      </w:pPr>
      <w:r>
        <w:rPr>
          <w:b/>
          <w:sz w:val="22"/>
          <w:szCs w:val="22"/>
        </w:rPr>
        <w:t>Finding 8</w:t>
      </w:r>
      <w:r w:rsidRPr="00C464D7">
        <w:rPr>
          <w:sz w:val="22"/>
          <w:szCs w:val="22"/>
        </w:rPr>
        <w:t xml:space="preserve">: </w:t>
      </w:r>
      <w:r>
        <w:rPr>
          <w:sz w:val="22"/>
          <w:szCs w:val="22"/>
        </w:rPr>
        <w:tab/>
      </w:r>
      <w:r w:rsidR="008852EB">
        <w:rPr>
          <w:rFonts w:cs="Times New Roman"/>
          <w:sz w:val="22"/>
          <w:szCs w:val="22"/>
        </w:rPr>
        <w:t xml:space="preserve">Students report frequent use of assessment practices by LCC faculty. </w:t>
      </w:r>
    </w:p>
    <w:p w14:paraId="75D38AC3" w14:textId="77777777" w:rsidR="00342A5B" w:rsidRDefault="00342A5B" w:rsidP="00342A5B">
      <w:pPr>
        <w:pStyle w:val="NoSpacing"/>
      </w:pPr>
    </w:p>
    <w:bookmarkStart w:id="2" w:name="_Toc445381104"/>
    <w:p w14:paraId="62DBD8EA" w14:textId="40B156AE" w:rsidR="00DB1FE8" w:rsidRPr="00F96BFA" w:rsidRDefault="004427F9" w:rsidP="00DB1FE8">
      <w:pPr>
        <w:pStyle w:val="Heading1"/>
        <w:rPr>
          <w:b/>
        </w:rPr>
      </w:pPr>
      <w:r w:rsidRPr="00F96BFA">
        <w:rPr>
          <w:b/>
          <w:noProof/>
        </w:rPr>
        <w:lastRenderedPageBreak/>
        <mc:AlternateContent>
          <mc:Choice Requires="wps">
            <w:drawing>
              <wp:anchor distT="45720" distB="45720" distL="114300" distR="114300" simplePos="0" relativeHeight="251663360" behindDoc="0" locked="0" layoutInCell="1" allowOverlap="1" wp14:anchorId="30964BC7" wp14:editId="71519012">
                <wp:simplePos x="0" y="0"/>
                <wp:positionH relativeFrom="column">
                  <wp:posOffset>-396240</wp:posOffset>
                </wp:positionH>
                <wp:positionV relativeFrom="paragraph">
                  <wp:posOffset>311785</wp:posOffset>
                </wp:positionV>
                <wp:extent cx="7174230" cy="5310505"/>
                <wp:effectExtent l="0" t="0" r="762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230" cy="5310505"/>
                        </a:xfrm>
                        <a:prstGeom prst="rect">
                          <a:avLst/>
                        </a:prstGeom>
                        <a:solidFill>
                          <a:srgbClr val="FFFFFF"/>
                        </a:solidFill>
                        <a:ln w="9525">
                          <a:noFill/>
                          <a:miter lim="800000"/>
                          <a:headEnd/>
                          <a:tailEnd/>
                        </a:ln>
                      </wps:spPr>
                      <wps:txbx>
                        <w:txbxContent>
                          <w:p w14:paraId="3CC598B8" w14:textId="55A4967D" w:rsidR="009B3159" w:rsidRDefault="006932D2" w:rsidP="00DB1FE8">
                            <w:r>
                              <w:rPr>
                                <w:noProof/>
                              </w:rPr>
                              <w:drawing>
                                <wp:inline distT="0" distB="0" distL="0" distR="0" wp14:anchorId="262E2502" wp14:editId="534E9145">
                                  <wp:extent cx="6967855" cy="5210175"/>
                                  <wp:effectExtent l="0" t="0" r="444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967855" cy="52101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64BC7" id="_x0000_t202" coordsize="21600,21600" o:spt="202" path="m,l,21600r21600,l21600,xe">
                <v:stroke joinstyle="miter"/>
                <v:path gradientshapeok="t" o:connecttype="rect"/>
              </v:shapetype>
              <v:shape id="Text Box 2" o:spid="_x0000_s1026" type="#_x0000_t202" style="position:absolute;margin-left:-31.2pt;margin-top:24.55pt;width:564.9pt;height:418.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VWIgIAAB4EAAAOAAAAZHJzL2Uyb0RvYy54bWysU9tuGyEQfa/Uf0C813uJt05WXkepU1eV&#10;0ouU9ANYlvWiAkMBe9f9+g7Ycdz2rSoPiGFmDmfODMvbSSuyF85LMA0tZjklwnDopNk29NvT5s01&#10;JT4w0zEFRjT0IDy9Xb1+tRxtLUoYQHXCEQQxvh5tQ4cQbJ1lng9CMz8DKww6e3CaBTTdNuscGxFd&#10;q6zM87fZCK6zDrjwHm/vj066Svh9L3j40vdeBKIaitxC2l3a27hnqyWrt47ZQfITDfYPLDSTBh89&#10;Q92zwMjOyb+gtOQOPPRhxkFn0PeSi1QDVlPkf1TzODArUi0ojrdnmfz/g+Wf918dkV1Dy2JBiWEa&#10;m/QkpkDewUTKqM9ofY1hjxYDw4TX2OdUq7cPwL97YmA9MLMVd87BOAjWIb8iZmYXqUccH0Ha8RN0&#10;+AzbBUhAU+90FA/lIIiOfTqcexOpcLxcFIt5eYUujr7qqsirvEpvsPo53TofPgjQJB4a6rD5CZ7t&#10;H3yIdFj9HBJf86Bkt5FKJcNt27VyZM9wUDZpndB/C1OGjA29qcoqIRuI+WmGtAw4yErqhl7nccV0&#10;Vkc53psunQOT6nhGJsqc9ImSHMUJUzthYBSthe6ASjk4Dix+MDwM4H5SMuKwNtT/2DEnKFEfDap9&#10;U8zncbqTMa8WJRru0tNeepjhCNXQQMnxuA7pR0S+Bu6wK71Mer0wOXHFIUwynj5MnPJLO0W9fOvV&#10;LwAAAP//AwBQSwMEFAAGAAgAAAAhAPeIh5zfAAAACwEAAA8AAABkcnMvZG93bnJldi54bWxMj8tu&#10;gzAQRfeV+g/WVOqmSkwiAoRiorZSq27z+IABTwAVjxF2Avn7Oqt2OTNHd84tdrPpxZVG11lWsFpG&#10;IIhrqztuFJyOn4sMhPPIGnvLpOBGDnbl40OBubYT7+l68I0IIexyVNB6P+RSurolg25pB+JwO9vR&#10;oA/j2Eg94hTCTS/XUZRIgx2HDy0O9NFS/XO4GAXn7+lls52qL39K93Hyjl1a2ZtSz0/z2ysIT7P/&#10;g+GuH9ShDE6VvbB2olewSNZxQBXE2xWIOxAladhUCrJsE4MsC/m/Q/kLAAD//wMAUEsBAi0AFAAG&#10;AAgAAAAhALaDOJL+AAAA4QEAABMAAAAAAAAAAAAAAAAAAAAAAFtDb250ZW50X1R5cGVzXS54bWxQ&#10;SwECLQAUAAYACAAAACEAOP0h/9YAAACUAQAACwAAAAAAAAAAAAAAAAAvAQAAX3JlbHMvLnJlbHNQ&#10;SwECLQAUAAYACAAAACEAdV61ViICAAAeBAAADgAAAAAAAAAAAAAAAAAuAgAAZHJzL2Uyb0RvYy54&#10;bWxQSwECLQAUAAYACAAAACEA94iHnN8AAAALAQAADwAAAAAAAAAAAAAAAAB8BAAAZHJzL2Rvd25y&#10;ZXYueG1sUEsFBgAAAAAEAAQA8wAAAIgFAAAAAA==&#10;" stroked="f">
                <v:textbox>
                  <w:txbxContent>
                    <w:p w14:paraId="3CC598B8" w14:textId="55A4967D" w:rsidR="009B3159" w:rsidRDefault="006932D2" w:rsidP="00DB1FE8">
                      <w:r>
                        <w:rPr>
                          <w:noProof/>
                        </w:rPr>
                        <w:drawing>
                          <wp:inline distT="0" distB="0" distL="0" distR="0" wp14:anchorId="262E2502" wp14:editId="534E9145">
                            <wp:extent cx="6967855" cy="5210175"/>
                            <wp:effectExtent l="0" t="0" r="444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67855" cy="5210175"/>
                                    </a:xfrm>
                                    <a:prstGeom prst="rect">
                                      <a:avLst/>
                                    </a:prstGeom>
                                  </pic:spPr>
                                </pic:pic>
                              </a:graphicData>
                            </a:graphic>
                          </wp:inline>
                        </w:drawing>
                      </w:r>
                    </w:p>
                  </w:txbxContent>
                </v:textbox>
                <w10:wrap type="square"/>
              </v:shape>
            </w:pict>
          </mc:Fallback>
        </mc:AlternateContent>
      </w:r>
      <w:r w:rsidR="00DB1FE8" w:rsidRPr="00F96BFA">
        <w:rPr>
          <w:b/>
        </w:rPr>
        <w:t xml:space="preserve">Assessment </w:t>
      </w:r>
      <w:bookmarkEnd w:id="2"/>
      <w:r w:rsidR="009B3159">
        <w:rPr>
          <w:b/>
        </w:rPr>
        <w:t>Scorecard</w:t>
      </w:r>
    </w:p>
    <w:p w14:paraId="271D7821" w14:textId="15C84FFD" w:rsidR="00DB1FE8" w:rsidRDefault="00DB1FE8" w:rsidP="00DB1FE8"/>
    <w:p w14:paraId="62BE6215" w14:textId="77777777" w:rsidR="00DB1FE8" w:rsidRDefault="00DB1FE8" w:rsidP="00342A5B">
      <w:pPr>
        <w:pStyle w:val="NoSpacing"/>
      </w:pPr>
    </w:p>
    <w:p w14:paraId="74090355" w14:textId="77777777" w:rsidR="00DB1FE8" w:rsidRDefault="00DB1FE8" w:rsidP="00342A5B">
      <w:pPr>
        <w:pStyle w:val="NoSpacing"/>
      </w:pPr>
    </w:p>
    <w:p w14:paraId="62318C98" w14:textId="77777777" w:rsidR="00DB1FE8" w:rsidRPr="00DB1FE8" w:rsidRDefault="00DB1FE8" w:rsidP="00DB1FE8">
      <w:pPr>
        <w:rPr>
          <w:rFonts w:cs="Times New Roman"/>
          <w:i/>
          <w:sz w:val="22"/>
          <w:szCs w:val="22"/>
        </w:rPr>
      </w:pPr>
      <w:r w:rsidRPr="00DB1FE8">
        <w:rPr>
          <w:rFonts w:cs="Times New Roman"/>
          <w:i/>
          <w:sz w:val="22"/>
          <w:szCs w:val="22"/>
        </w:rPr>
        <w:t xml:space="preserve">Legend: </w:t>
      </w:r>
    </w:p>
    <w:tbl>
      <w:tblPr>
        <w:tblStyle w:val="TableGrid1"/>
        <w:tblW w:w="0" w:type="auto"/>
        <w:tblInd w:w="108" w:type="dxa"/>
        <w:tblLook w:val="04A0" w:firstRow="1" w:lastRow="0" w:firstColumn="1" w:lastColumn="0" w:noHBand="0" w:noVBand="1"/>
      </w:tblPr>
      <w:tblGrid>
        <w:gridCol w:w="450"/>
        <w:gridCol w:w="9360"/>
      </w:tblGrid>
      <w:tr w:rsidR="00DB1FE8" w:rsidRPr="00DD48B2" w14:paraId="6C00966F" w14:textId="77777777" w:rsidTr="008C6E77">
        <w:tc>
          <w:tcPr>
            <w:tcW w:w="450" w:type="dxa"/>
            <w:shd w:val="clear" w:color="auto" w:fill="99CC00"/>
          </w:tcPr>
          <w:p w14:paraId="21EB86CD" w14:textId="77777777" w:rsidR="00DB1FE8" w:rsidRPr="00DD48B2" w:rsidRDefault="00DB1FE8" w:rsidP="008C6E77"/>
        </w:tc>
        <w:tc>
          <w:tcPr>
            <w:tcW w:w="9360" w:type="dxa"/>
          </w:tcPr>
          <w:p w14:paraId="639F294F" w14:textId="4776ADDF" w:rsidR="00DB1FE8" w:rsidRPr="00DD48B2" w:rsidRDefault="00DB1FE8" w:rsidP="008C6E77">
            <w:pPr>
              <w:rPr>
                <w:rFonts w:cs="Times New Roman"/>
                <w:sz w:val="20"/>
                <w:szCs w:val="20"/>
              </w:rPr>
            </w:pPr>
            <w:r w:rsidRPr="00DD48B2">
              <w:rPr>
                <w:rFonts w:cs="Times New Roman"/>
                <w:sz w:val="20"/>
                <w:szCs w:val="20"/>
              </w:rPr>
              <w:t>Results are on or over the established target</w:t>
            </w:r>
            <w:r w:rsidR="00857EEC">
              <w:rPr>
                <w:rFonts w:cs="Times New Roman"/>
                <w:sz w:val="20"/>
                <w:szCs w:val="20"/>
              </w:rPr>
              <w:t>.</w:t>
            </w:r>
          </w:p>
        </w:tc>
      </w:tr>
      <w:tr w:rsidR="00DB1FE8" w:rsidRPr="00DD48B2" w14:paraId="475B798B" w14:textId="77777777" w:rsidTr="008C6E77">
        <w:tc>
          <w:tcPr>
            <w:tcW w:w="450" w:type="dxa"/>
            <w:shd w:val="clear" w:color="auto" w:fill="FFFF99"/>
          </w:tcPr>
          <w:p w14:paraId="6D981F40" w14:textId="77777777" w:rsidR="00DB1FE8" w:rsidRPr="00DD48B2" w:rsidRDefault="00DB1FE8" w:rsidP="008C6E77"/>
        </w:tc>
        <w:tc>
          <w:tcPr>
            <w:tcW w:w="9360" w:type="dxa"/>
          </w:tcPr>
          <w:p w14:paraId="7FF3CF0F" w14:textId="2EF9135D" w:rsidR="00DB1FE8" w:rsidRPr="00DD48B2" w:rsidRDefault="00DB1FE8" w:rsidP="008C6E77">
            <w:pPr>
              <w:rPr>
                <w:rFonts w:cs="Times New Roman"/>
                <w:sz w:val="20"/>
                <w:szCs w:val="20"/>
              </w:rPr>
            </w:pPr>
            <w:r w:rsidRPr="00DD48B2">
              <w:rPr>
                <w:rFonts w:cs="Times New Roman"/>
                <w:sz w:val="20"/>
                <w:szCs w:val="20"/>
              </w:rPr>
              <w:t>Results are under the established target, but within range. These results are monitored and improved</w:t>
            </w:r>
            <w:r w:rsidR="00857EEC">
              <w:rPr>
                <w:rFonts w:cs="Times New Roman"/>
                <w:sz w:val="20"/>
                <w:szCs w:val="20"/>
              </w:rPr>
              <w:t>.</w:t>
            </w:r>
          </w:p>
        </w:tc>
      </w:tr>
      <w:tr w:rsidR="00DB1FE8" w:rsidRPr="00DD48B2" w14:paraId="1DE12D69" w14:textId="77777777" w:rsidTr="008C6E77">
        <w:tc>
          <w:tcPr>
            <w:tcW w:w="450" w:type="dxa"/>
            <w:shd w:val="clear" w:color="auto" w:fill="FF0000"/>
          </w:tcPr>
          <w:p w14:paraId="1B52B685" w14:textId="77777777" w:rsidR="00DB1FE8" w:rsidRPr="00DD48B2" w:rsidRDefault="00DB1FE8" w:rsidP="008C6E77"/>
        </w:tc>
        <w:tc>
          <w:tcPr>
            <w:tcW w:w="9360" w:type="dxa"/>
          </w:tcPr>
          <w:p w14:paraId="4F30CACE" w14:textId="246897FA" w:rsidR="00DB1FE8" w:rsidRPr="00DD48B2" w:rsidRDefault="00DB1FE8" w:rsidP="008C6E77">
            <w:pPr>
              <w:rPr>
                <w:rFonts w:cs="Times New Roman"/>
                <w:sz w:val="20"/>
                <w:szCs w:val="20"/>
              </w:rPr>
            </w:pPr>
            <w:r w:rsidRPr="00DD48B2">
              <w:rPr>
                <w:rFonts w:cs="Times New Roman"/>
                <w:sz w:val="20"/>
                <w:szCs w:val="20"/>
              </w:rPr>
              <w:t>Results are under the established target and require urgent attention</w:t>
            </w:r>
            <w:r w:rsidR="00857EEC">
              <w:rPr>
                <w:rFonts w:cs="Times New Roman"/>
                <w:sz w:val="20"/>
                <w:szCs w:val="20"/>
              </w:rPr>
              <w:t>.</w:t>
            </w:r>
          </w:p>
        </w:tc>
      </w:tr>
    </w:tbl>
    <w:p w14:paraId="30279E47" w14:textId="78236A55" w:rsidR="00C51DB4" w:rsidRPr="007F06CC" w:rsidRDefault="00342A5B" w:rsidP="00332CAD">
      <w:pPr>
        <w:pStyle w:val="Heading1"/>
        <w:rPr>
          <w:b/>
          <w:color w:val="983620" w:themeColor="accent2"/>
        </w:rPr>
      </w:pPr>
      <w:bookmarkStart w:id="3" w:name="_Toc445381105"/>
      <w:r w:rsidRPr="007F06CC">
        <w:rPr>
          <w:b/>
          <w:color w:val="983620" w:themeColor="accent2"/>
        </w:rPr>
        <w:lastRenderedPageBreak/>
        <w:t xml:space="preserve">LCC Assessment </w:t>
      </w:r>
      <w:r w:rsidR="00C51DB4" w:rsidRPr="007F06CC">
        <w:rPr>
          <w:b/>
          <w:color w:val="983620" w:themeColor="accent2"/>
        </w:rPr>
        <w:t>Results</w:t>
      </w:r>
      <w:bookmarkEnd w:id="3"/>
      <w:r w:rsidR="00C51DB4" w:rsidRPr="007F06CC">
        <w:rPr>
          <w:b/>
          <w:color w:val="983620" w:themeColor="accent2"/>
        </w:rPr>
        <w:t xml:space="preserve"> </w:t>
      </w:r>
    </w:p>
    <w:p w14:paraId="5240548E" w14:textId="77777777" w:rsidR="00342A5B" w:rsidRDefault="00342A5B" w:rsidP="00332CAD">
      <w:pPr>
        <w:pStyle w:val="Heading2"/>
        <w:rPr>
          <w:szCs w:val="24"/>
        </w:rPr>
      </w:pPr>
    </w:p>
    <w:p w14:paraId="382D7049" w14:textId="77777777" w:rsidR="0037697C" w:rsidRPr="00332CAD" w:rsidRDefault="00AB23C7" w:rsidP="00332CAD">
      <w:pPr>
        <w:pStyle w:val="Heading2"/>
        <w:rPr>
          <w:szCs w:val="24"/>
        </w:rPr>
      </w:pPr>
      <w:bookmarkStart w:id="4" w:name="_Toc445381106"/>
      <w:r w:rsidRPr="00332CAD">
        <w:rPr>
          <w:szCs w:val="24"/>
        </w:rPr>
        <w:t>Institutional-Level Assessment Results</w:t>
      </w:r>
      <w:bookmarkEnd w:id="4"/>
      <w:r w:rsidRPr="00332CAD">
        <w:rPr>
          <w:szCs w:val="24"/>
        </w:rPr>
        <w:t xml:space="preserve"> </w:t>
      </w:r>
    </w:p>
    <w:p w14:paraId="09747E7D" w14:textId="77777777" w:rsidR="00604872" w:rsidRDefault="00604872" w:rsidP="00DB623E">
      <w:pPr>
        <w:rPr>
          <w:rFonts w:cs="Times New Roman"/>
          <w:b/>
        </w:rPr>
      </w:pPr>
    </w:p>
    <w:p w14:paraId="6B64699C" w14:textId="74F7F0D7" w:rsidR="00D63688" w:rsidRPr="00E243A9" w:rsidRDefault="00FA1969" w:rsidP="00B74B71">
      <w:pPr>
        <w:rPr>
          <w:rFonts w:cs="Times New Roman"/>
          <w:i/>
        </w:rPr>
      </w:pPr>
      <w:r w:rsidRPr="007F06CC">
        <w:rPr>
          <w:rFonts w:cs="Times New Roman"/>
          <w:b/>
          <w:i/>
        </w:rPr>
        <w:t>Finding 1:</w:t>
      </w:r>
      <w:r w:rsidRPr="00E243A9">
        <w:rPr>
          <w:rFonts w:cs="Times New Roman"/>
          <w:i/>
        </w:rPr>
        <w:t xml:space="preserve"> </w:t>
      </w:r>
      <w:r w:rsidR="00803806">
        <w:rPr>
          <w:rFonts w:cs="Times New Roman"/>
          <w:i/>
        </w:rPr>
        <w:t>78%</w:t>
      </w:r>
      <w:r w:rsidR="00DC70AD">
        <w:rPr>
          <w:rFonts w:cs="Times New Roman"/>
          <w:i/>
        </w:rPr>
        <w:t xml:space="preserve"> of </w:t>
      </w:r>
      <w:r w:rsidR="00D63688" w:rsidRPr="00E243A9">
        <w:rPr>
          <w:rFonts w:cs="Times New Roman"/>
          <w:i/>
        </w:rPr>
        <w:t xml:space="preserve">LCC Programs of Study </w:t>
      </w:r>
      <w:r w:rsidR="00DC70AD">
        <w:rPr>
          <w:rFonts w:cs="Times New Roman"/>
          <w:i/>
        </w:rPr>
        <w:t xml:space="preserve">report curriculum alignment </w:t>
      </w:r>
      <w:r w:rsidR="00D63688" w:rsidRPr="00E243A9">
        <w:rPr>
          <w:rFonts w:cs="Times New Roman"/>
          <w:i/>
        </w:rPr>
        <w:t xml:space="preserve">to a common set of </w:t>
      </w:r>
      <w:r w:rsidR="00E85D16" w:rsidRPr="00E243A9">
        <w:rPr>
          <w:rFonts w:cs="Times New Roman"/>
          <w:i/>
        </w:rPr>
        <w:t xml:space="preserve">institutional </w:t>
      </w:r>
      <w:r w:rsidR="00E243A9">
        <w:rPr>
          <w:rFonts w:cs="Times New Roman"/>
          <w:i/>
        </w:rPr>
        <w:t>learning outcomes</w:t>
      </w:r>
      <w:r w:rsidR="00D63688" w:rsidRPr="00E243A9">
        <w:rPr>
          <w:rFonts w:cs="Times New Roman"/>
          <w:i/>
        </w:rPr>
        <w:t xml:space="preserve">. </w:t>
      </w:r>
    </w:p>
    <w:p w14:paraId="628A8F8A" w14:textId="5B9B0658" w:rsidR="00DB623E" w:rsidRPr="00604872" w:rsidRDefault="00604872" w:rsidP="00B74B71">
      <w:r>
        <w:t>LCC adopted the Association of American Colleges &amp; Universities (AAC&amp;U) four essential learning outcomes (ELOs) as institutional outcomes. ELOs describe LCC’s shared outc</w:t>
      </w:r>
      <w:r w:rsidR="00D70BDC">
        <w:t>omes of student learning with 78</w:t>
      </w:r>
      <w:r>
        <w:t xml:space="preserve">% of our Programs of Study identifying how they uniquely contribute to preparing students for twenty-first-century challenges. Our result </w:t>
      </w:r>
      <w:r w:rsidR="00D70BDC">
        <w:t xml:space="preserve">is </w:t>
      </w:r>
      <w:r w:rsidR="00857EEC">
        <w:t xml:space="preserve">currently </w:t>
      </w:r>
      <w:r w:rsidR="00D70BDC">
        <w:t>below</w:t>
      </w:r>
      <w:r w:rsidR="00051A36">
        <w:t xml:space="preserve"> a benchmark of</w:t>
      </w:r>
      <w:r w:rsidR="00D63688" w:rsidRPr="00E243A9">
        <w:rPr>
          <w:rFonts w:cs="Times New Roman"/>
        </w:rPr>
        <w:t xml:space="preserve"> 85% of AAC&amp;U member institutions </w:t>
      </w:r>
      <w:r>
        <w:rPr>
          <w:rFonts w:cs="Times New Roman"/>
        </w:rPr>
        <w:t>that report</w:t>
      </w:r>
      <w:r w:rsidR="00D63688" w:rsidRPr="00E243A9">
        <w:rPr>
          <w:rFonts w:cs="Times New Roman"/>
        </w:rPr>
        <w:t xml:space="preserve"> “a common set of intended learning outcomes for all undergraduate students” (AAC&amp;U, 2016).</w:t>
      </w:r>
    </w:p>
    <w:tbl>
      <w:tblPr>
        <w:tblStyle w:val="TableGrid"/>
        <w:tblW w:w="0" w:type="auto"/>
        <w:tblInd w:w="108" w:type="dxa"/>
        <w:tblLook w:val="04A0" w:firstRow="1" w:lastRow="0" w:firstColumn="1" w:lastColumn="0" w:noHBand="0" w:noVBand="1"/>
      </w:tblPr>
      <w:tblGrid>
        <w:gridCol w:w="2880"/>
        <w:gridCol w:w="1620"/>
        <w:gridCol w:w="2880"/>
        <w:gridCol w:w="2430"/>
      </w:tblGrid>
      <w:tr w:rsidR="003F685C" w:rsidRPr="00E243A9" w14:paraId="2D56BFE6" w14:textId="77777777" w:rsidTr="00D70BDC">
        <w:tc>
          <w:tcPr>
            <w:tcW w:w="2880" w:type="dxa"/>
            <w:shd w:val="clear" w:color="auto" w:fill="E6E6E6"/>
          </w:tcPr>
          <w:p w14:paraId="669F980F" w14:textId="77777777" w:rsidR="00D325DE" w:rsidRPr="00E243A9" w:rsidRDefault="00D325DE" w:rsidP="0060331E">
            <w:pPr>
              <w:jc w:val="center"/>
              <w:rPr>
                <w:rFonts w:cs="Times New Roman"/>
                <w:b/>
              </w:rPr>
            </w:pPr>
          </w:p>
          <w:p w14:paraId="0711AF2A" w14:textId="77777777" w:rsidR="0060331E" w:rsidRDefault="0060331E" w:rsidP="0060331E">
            <w:pPr>
              <w:jc w:val="center"/>
              <w:rPr>
                <w:rFonts w:cs="Times New Roman"/>
                <w:b/>
              </w:rPr>
            </w:pPr>
            <w:r w:rsidRPr="00E243A9">
              <w:rPr>
                <w:rFonts w:cs="Times New Roman"/>
                <w:b/>
              </w:rPr>
              <w:t>DIVISION</w:t>
            </w:r>
          </w:p>
          <w:p w14:paraId="3D746782" w14:textId="1F26E5B6" w:rsidR="00EF7C3F" w:rsidRPr="00E243A9" w:rsidRDefault="00EF7C3F" w:rsidP="0060331E">
            <w:pPr>
              <w:jc w:val="center"/>
              <w:rPr>
                <w:rFonts w:cs="Times New Roman"/>
                <w:b/>
              </w:rPr>
            </w:pPr>
          </w:p>
        </w:tc>
        <w:tc>
          <w:tcPr>
            <w:tcW w:w="1620" w:type="dxa"/>
            <w:shd w:val="clear" w:color="auto" w:fill="E6E6E6"/>
          </w:tcPr>
          <w:p w14:paraId="3BA9B451" w14:textId="77777777" w:rsidR="0060331E" w:rsidRDefault="008C4C7C" w:rsidP="0060331E">
            <w:pPr>
              <w:jc w:val="center"/>
              <w:rPr>
                <w:rFonts w:cs="Times New Roman"/>
                <w:b/>
              </w:rPr>
            </w:pPr>
            <w:r>
              <w:rPr>
                <w:rFonts w:cs="Times New Roman"/>
                <w:b/>
              </w:rPr>
              <w:t>AAC&amp;U Member Institutions</w:t>
            </w:r>
          </w:p>
          <w:p w14:paraId="35B3C47D" w14:textId="3D1076C8" w:rsidR="008C4C7C" w:rsidRPr="00E243A9" w:rsidRDefault="008C4C7C" w:rsidP="0060331E">
            <w:pPr>
              <w:jc w:val="center"/>
              <w:rPr>
                <w:rFonts w:cs="Times New Roman"/>
                <w:b/>
              </w:rPr>
            </w:pPr>
          </w:p>
        </w:tc>
        <w:tc>
          <w:tcPr>
            <w:tcW w:w="2880" w:type="dxa"/>
            <w:tcBorders>
              <w:bottom w:val="single" w:sz="4" w:space="0" w:color="auto"/>
            </w:tcBorders>
            <w:shd w:val="clear" w:color="auto" w:fill="E6E6E6"/>
          </w:tcPr>
          <w:p w14:paraId="78776336" w14:textId="77777777" w:rsidR="008C4C7C" w:rsidRDefault="008C4C7C" w:rsidP="0060331E">
            <w:pPr>
              <w:jc w:val="center"/>
              <w:rPr>
                <w:rFonts w:cs="Times New Roman"/>
                <w:b/>
              </w:rPr>
            </w:pPr>
          </w:p>
          <w:p w14:paraId="4C85B638" w14:textId="7A4B61EE" w:rsidR="0060331E" w:rsidRPr="00E243A9" w:rsidRDefault="008C4C7C" w:rsidP="0060331E">
            <w:pPr>
              <w:jc w:val="center"/>
              <w:rPr>
                <w:rFonts w:cs="Times New Roman"/>
                <w:b/>
              </w:rPr>
            </w:pPr>
            <w:r>
              <w:rPr>
                <w:rFonts w:cs="Times New Roman"/>
                <w:b/>
              </w:rPr>
              <w:t xml:space="preserve">LCC </w:t>
            </w:r>
            <w:r w:rsidR="00D325DE" w:rsidRPr="00E243A9">
              <w:rPr>
                <w:rFonts w:cs="Times New Roman"/>
                <w:b/>
              </w:rPr>
              <w:t>Programs of Study Reporting Links to ELOs</w:t>
            </w:r>
          </w:p>
        </w:tc>
        <w:tc>
          <w:tcPr>
            <w:tcW w:w="2430" w:type="dxa"/>
            <w:tcBorders>
              <w:bottom w:val="single" w:sz="4" w:space="0" w:color="auto"/>
            </w:tcBorders>
            <w:shd w:val="clear" w:color="auto" w:fill="D9D9D9"/>
          </w:tcPr>
          <w:p w14:paraId="7D06C796" w14:textId="77777777" w:rsidR="00D325DE" w:rsidRPr="00E243A9" w:rsidRDefault="00D325DE" w:rsidP="0060331E">
            <w:pPr>
              <w:jc w:val="center"/>
              <w:rPr>
                <w:rFonts w:cs="Times New Roman"/>
                <w:b/>
              </w:rPr>
            </w:pPr>
          </w:p>
          <w:p w14:paraId="40AC4EC5" w14:textId="6ECF7FAC" w:rsidR="0060331E" w:rsidRPr="00E243A9" w:rsidRDefault="0060331E" w:rsidP="0060331E">
            <w:pPr>
              <w:jc w:val="center"/>
              <w:rPr>
                <w:rFonts w:cs="Times New Roman"/>
                <w:b/>
              </w:rPr>
            </w:pPr>
            <w:r w:rsidRPr="00E243A9">
              <w:rPr>
                <w:rFonts w:cs="Times New Roman"/>
                <w:b/>
              </w:rPr>
              <w:t>LCC Total</w:t>
            </w:r>
          </w:p>
        </w:tc>
      </w:tr>
      <w:tr w:rsidR="003F685C" w:rsidRPr="00E243A9" w14:paraId="3EBD4714" w14:textId="77777777" w:rsidTr="00D70BDC">
        <w:tc>
          <w:tcPr>
            <w:tcW w:w="2880" w:type="dxa"/>
          </w:tcPr>
          <w:p w14:paraId="564976A6" w14:textId="77777777" w:rsidR="00EF7C3F" w:rsidRDefault="00EF7C3F" w:rsidP="0060331E">
            <w:pPr>
              <w:rPr>
                <w:rFonts w:cs="Times New Roman"/>
              </w:rPr>
            </w:pPr>
          </w:p>
          <w:p w14:paraId="4C7980E0" w14:textId="77777777" w:rsidR="0060331E" w:rsidRDefault="0060331E" w:rsidP="0060331E">
            <w:pPr>
              <w:rPr>
                <w:rFonts w:cs="Times New Roman"/>
              </w:rPr>
            </w:pPr>
            <w:r w:rsidRPr="00E243A9">
              <w:rPr>
                <w:rFonts w:cs="Times New Roman"/>
              </w:rPr>
              <w:t xml:space="preserve">Arts &amp; Sciences </w:t>
            </w:r>
          </w:p>
          <w:p w14:paraId="740C9658" w14:textId="564B47BB" w:rsidR="00EF7C3F" w:rsidRPr="00E243A9" w:rsidRDefault="00EF7C3F" w:rsidP="0060331E">
            <w:pPr>
              <w:rPr>
                <w:rFonts w:cs="Times New Roman"/>
              </w:rPr>
            </w:pPr>
          </w:p>
        </w:tc>
        <w:tc>
          <w:tcPr>
            <w:tcW w:w="1620" w:type="dxa"/>
          </w:tcPr>
          <w:p w14:paraId="64A3B90F" w14:textId="77777777" w:rsidR="0060331E" w:rsidRDefault="0060331E" w:rsidP="00D325DE">
            <w:pPr>
              <w:jc w:val="center"/>
              <w:rPr>
                <w:rFonts w:cs="Times New Roman"/>
              </w:rPr>
            </w:pPr>
          </w:p>
          <w:p w14:paraId="21F0AC3A" w14:textId="20BAB1E8" w:rsidR="00EF7C3F" w:rsidRPr="00EF7C3F" w:rsidRDefault="00EF7C3F" w:rsidP="00D325DE">
            <w:pPr>
              <w:jc w:val="center"/>
              <w:rPr>
                <w:rFonts w:cs="Times New Roman"/>
              </w:rPr>
            </w:pPr>
            <m:oMath>
              <m:r>
                <w:rPr>
                  <w:rFonts w:ascii="Cambria Math" w:hAnsi="Cambria Math" w:cs="Times New Roman"/>
                </w:rPr>
                <m:t>≥</m:t>
              </m:r>
            </m:oMath>
            <w:r>
              <w:rPr>
                <w:rFonts w:cs="Times New Roman"/>
              </w:rPr>
              <w:t xml:space="preserve"> </w:t>
            </w:r>
            <w:r w:rsidRPr="00E243A9">
              <w:rPr>
                <w:rFonts w:cs="Times New Roman"/>
              </w:rPr>
              <w:t>85%</w:t>
            </w:r>
          </w:p>
        </w:tc>
        <w:tc>
          <w:tcPr>
            <w:tcW w:w="2880" w:type="dxa"/>
            <w:tcBorders>
              <w:bottom w:val="single" w:sz="4" w:space="0" w:color="auto"/>
            </w:tcBorders>
            <w:shd w:val="clear" w:color="auto" w:fill="FFFF99"/>
          </w:tcPr>
          <w:p w14:paraId="1E5C8C41" w14:textId="77777777" w:rsidR="00EF7C3F" w:rsidRDefault="00EF7C3F" w:rsidP="0076026D">
            <w:pPr>
              <w:jc w:val="center"/>
              <w:rPr>
                <w:rFonts w:cs="Times New Roman"/>
              </w:rPr>
            </w:pPr>
          </w:p>
          <w:p w14:paraId="290BE318" w14:textId="796B27C4" w:rsidR="0060331E" w:rsidRPr="00E243A9" w:rsidRDefault="00D70BDC" w:rsidP="0076026D">
            <w:pPr>
              <w:jc w:val="center"/>
              <w:rPr>
                <w:rFonts w:cs="Times New Roman"/>
              </w:rPr>
            </w:pPr>
            <w:r>
              <w:rPr>
                <w:rFonts w:cs="Times New Roman"/>
              </w:rPr>
              <w:t>65% (43/66</w:t>
            </w:r>
            <w:r w:rsidR="0060331E" w:rsidRPr="00E243A9">
              <w:rPr>
                <w:rFonts w:cs="Times New Roman"/>
              </w:rPr>
              <w:t>)</w:t>
            </w:r>
          </w:p>
        </w:tc>
        <w:tc>
          <w:tcPr>
            <w:tcW w:w="2430" w:type="dxa"/>
            <w:vMerge w:val="restart"/>
            <w:shd w:val="clear" w:color="auto" w:fill="FFFF99"/>
          </w:tcPr>
          <w:p w14:paraId="3515C4AD" w14:textId="77777777" w:rsidR="0060331E" w:rsidRPr="00E243A9" w:rsidRDefault="0060331E" w:rsidP="0060331E">
            <w:pPr>
              <w:rPr>
                <w:rFonts w:cs="Times New Roman"/>
                <w:b/>
              </w:rPr>
            </w:pPr>
          </w:p>
          <w:p w14:paraId="67E79FFF" w14:textId="77777777" w:rsidR="00EF7C3F" w:rsidRDefault="007C0F07" w:rsidP="007C0F07">
            <w:pPr>
              <w:tabs>
                <w:tab w:val="left" w:pos="220"/>
                <w:tab w:val="center" w:pos="1161"/>
              </w:tabs>
              <w:rPr>
                <w:rFonts w:cs="Times New Roman"/>
                <w:b/>
              </w:rPr>
            </w:pPr>
            <w:r w:rsidRPr="00E243A9">
              <w:rPr>
                <w:rFonts w:cs="Times New Roman"/>
                <w:b/>
              </w:rPr>
              <w:tab/>
            </w:r>
            <w:r w:rsidRPr="00E243A9">
              <w:rPr>
                <w:rFonts w:cs="Times New Roman"/>
                <w:b/>
              </w:rPr>
              <w:tab/>
            </w:r>
          </w:p>
          <w:p w14:paraId="4B2D543F" w14:textId="77777777" w:rsidR="00EF7C3F" w:rsidRDefault="00EF7C3F" w:rsidP="007C0F07">
            <w:pPr>
              <w:tabs>
                <w:tab w:val="left" w:pos="220"/>
                <w:tab w:val="center" w:pos="1161"/>
              </w:tabs>
              <w:rPr>
                <w:rFonts w:cs="Times New Roman"/>
                <w:b/>
              </w:rPr>
            </w:pPr>
          </w:p>
          <w:p w14:paraId="2505C7D6" w14:textId="77777777" w:rsidR="00EF7C3F" w:rsidRDefault="00EF7C3F" w:rsidP="007C0F07">
            <w:pPr>
              <w:tabs>
                <w:tab w:val="left" w:pos="220"/>
                <w:tab w:val="center" w:pos="1161"/>
              </w:tabs>
              <w:rPr>
                <w:rFonts w:cs="Times New Roman"/>
                <w:b/>
              </w:rPr>
            </w:pPr>
          </w:p>
          <w:p w14:paraId="4813E822" w14:textId="6632646A" w:rsidR="0060331E" w:rsidRPr="00E243A9" w:rsidRDefault="00D70BDC" w:rsidP="00EF7C3F">
            <w:pPr>
              <w:tabs>
                <w:tab w:val="left" w:pos="220"/>
                <w:tab w:val="center" w:pos="1161"/>
              </w:tabs>
              <w:jc w:val="center"/>
              <w:rPr>
                <w:rFonts w:cs="Times New Roman"/>
              </w:rPr>
            </w:pPr>
            <w:r>
              <w:rPr>
                <w:rFonts w:cs="Times New Roman"/>
                <w:b/>
              </w:rPr>
              <w:t>78</w:t>
            </w:r>
            <w:r w:rsidR="0060331E" w:rsidRPr="00E243A9">
              <w:rPr>
                <w:rFonts w:cs="Times New Roman"/>
                <w:b/>
              </w:rPr>
              <w:t>%</w:t>
            </w:r>
            <w:r w:rsidR="000C05C3" w:rsidRPr="00E243A9">
              <w:rPr>
                <w:rFonts w:cs="Times New Roman"/>
              </w:rPr>
              <w:t xml:space="preserve"> (</w:t>
            </w:r>
            <w:r>
              <w:rPr>
                <w:rFonts w:cs="Times New Roman"/>
              </w:rPr>
              <w:t>83/106</w:t>
            </w:r>
            <w:r w:rsidR="0060331E" w:rsidRPr="00E243A9">
              <w:rPr>
                <w:rFonts w:cs="Times New Roman"/>
              </w:rPr>
              <w:t>)</w:t>
            </w:r>
          </w:p>
        </w:tc>
      </w:tr>
      <w:tr w:rsidR="003F685C" w:rsidRPr="00E243A9" w14:paraId="7A902E2A" w14:textId="77777777" w:rsidTr="00D70BDC">
        <w:tc>
          <w:tcPr>
            <w:tcW w:w="2880" w:type="dxa"/>
          </w:tcPr>
          <w:p w14:paraId="5B59A328" w14:textId="77777777" w:rsidR="00EF7C3F" w:rsidRDefault="00EF7C3F" w:rsidP="0060331E">
            <w:pPr>
              <w:rPr>
                <w:rFonts w:cs="Times New Roman"/>
              </w:rPr>
            </w:pPr>
          </w:p>
          <w:p w14:paraId="6C51E811" w14:textId="77777777" w:rsidR="0060331E" w:rsidRDefault="0060331E" w:rsidP="0060331E">
            <w:pPr>
              <w:rPr>
                <w:rFonts w:cs="Times New Roman"/>
              </w:rPr>
            </w:pPr>
            <w:r w:rsidRPr="00E243A9">
              <w:rPr>
                <w:rFonts w:cs="Times New Roman"/>
              </w:rPr>
              <w:t>Technical Careers</w:t>
            </w:r>
          </w:p>
          <w:p w14:paraId="7E5CA53A" w14:textId="210BAC46" w:rsidR="00EF7C3F" w:rsidRPr="00E243A9" w:rsidRDefault="00EF7C3F" w:rsidP="0060331E">
            <w:pPr>
              <w:rPr>
                <w:rFonts w:cs="Times New Roman"/>
              </w:rPr>
            </w:pPr>
          </w:p>
        </w:tc>
        <w:tc>
          <w:tcPr>
            <w:tcW w:w="1620" w:type="dxa"/>
          </w:tcPr>
          <w:p w14:paraId="2EE8AAF2" w14:textId="77777777" w:rsidR="00EF7C3F" w:rsidRDefault="00EF7C3F" w:rsidP="00D325DE">
            <w:pPr>
              <w:jc w:val="center"/>
              <w:rPr>
                <w:rFonts w:cs="Times New Roman"/>
              </w:rPr>
            </w:pPr>
          </w:p>
          <w:p w14:paraId="433B8F8A" w14:textId="36DD9C85" w:rsidR="0060331E" w:rsidRPr="00E243A9" w:rsidRDefault="00D325DE" w:rsidP="00D325DE">
            <w:pPr>
              <w:jc w:val="center"/>
              <w:rPr>
                <w:rFonts w:cs="Times New Roman"/>
              </w:rPr>
            </w:pPr>
            <m:oMath>
              <m:r>
                <w:rPr>
                  <w:rFonts w:ascii="Cambria Math" w:hAnsi="Cambria Math" w:cs="Times New Roman"/>
                </w:rPr>
                <m:t>≥</m:t>
              </m:r>
            </m:oMath>
            <w:r w:rsidR="00EF7C3F">
              <w:rPr>
                <w:rFonts w:cs="Times New Roman"/>
              </w:rPr>
              <w:t xml:space="preserve"> </w:t>
            </w:r>
            <w:r w:rsidRPr="00E243A9">
              <w:rPr>
                <w:rFonts w:cs="Times New Roman"/>
              </w:rPr>
              <w:t>85%</w:t>
            </w:r>
          </w:p>
        </w:tc>
        <w:tc>
          <w:tcPr>
            <w:tcW w:w="2880" w:type="dxa"/>
            <w:shd w:val="clear" w:color="auto" w:fill="99CC00"/>
          </w:tcPr>
          <w:p w14:paraId="659E760B" w14:textId="77777777" w:rsidR="00EF7C3F" w:rsidRDefault="00EF7C3F" w:rsidP="0060331E">
            <w:pPr>
              <w:jc w:val="center"/>
              <w:rPr>
                <w:rFonts w:cs="Times New Roman"/>
              </w:rPr>
            </w:pPr>
          </w:p>
          <w:p w14:paraId="5EFE8982" w14:textId="15EB35FC" w:rsidR="0060331E" w:rsidRPr="00E243A9" w:rsidRDefault="00D70BDC" w:rsidP="0060331E">
            <w:pPr>
              <w:jc w:val="center"/>
              <w:rPr>
                <w:rFonts w:cs="Times New Roman"/>
              </w:rPr>
            </w:pPr>
            <w:r>
              <w:rPr>
                <w:rFonts w:cs="Times New Roman"/>
              </w:rPr>
              <w:t>100%  (32/32</w:t>
            </w:r>
            <w:r w:rsidR="0060331E" w:rsidRPr="00E243A9">
              <w:rPr>
                <w:rFonts w:cs="Times New Roman"/>
              </w:rPr>
              <w:t>)</w:t>
            </w:r>
          </w:p>
        </w:tc>
        <w:tc>
          <w:tcPr>
            <w:tcW w:w="2430" w:type="dxa"/>
            <w:vMerge/>
            <w:shd w:val="clear" w:color="auto" w:fill="FFFF99"/>
          </w:tcPr>
          <w:p w14:paraId="65EE1B0A" w14:textId="77777777" w:rsidR="0060331E" w:rsidRPr="00E243A9" w:rsidRDefault="0060331E" w:rsidP="0060331E">
            <w:pPr>
              <w:rPr>
                <w:rFonts w:cs="Times New Roman"/>
              </w:rPr>
            </w:pPr>
          </w:p>
        </w:tc>
      </w:tr>
      <w:tr w:rsidR="003F685C" w:rsidRPr="00E243A9" w14:paraId="72BCC651" w14:textId="77777777" w:rsidTr="00D70BDC">
        <w:tc>
          <w:tcPr>
            <w:tcW w:w="2880" w:type="dxa"/>
          </w:tcPr>
          <w:p w14:paraId="18D5221B" w14:textId="77777777" w:rsidR="00EF7C3F" w:rsidRDefault="00EF7C3F" w:rsidP="0060331E">
            <w:pPr>
              <w:rPr>
                <w:rFonts w:cs="Times New Roman"/>
              </w:rPr>
            </w:pPr>
          </w:p>
          <w:p w14:paraId="1D40B416" w14:textId="77777777" w:rsidR="0060331E" w:rsidRDefault="0060331E" w:rsidP="0060331E">
            <w:pPr>
              <w:rPr>
                <w:rFonts w:cs="Times New Roman"/>
              </w:rPr>
            </w:pPr>
            <w:r w:rsidRPr="00E243A9">
              <w:rPr>
                <w:rFonts w:cs="Times New Roman"/>
              </w:rPr>
              <w:t>Health &amp; Human Services</w:t>
            </w:r>
          </w:p>
          <w:p w14:paraId="0847F1CE" w14:textId="57DCBD04" w:rsidR="00EF7C3F" w:rsidRPr="00E243A9" w:rsidRDefault="00EF7C3F" w:rsidP="0060331E">
            <w:pPr>
              <w:rPr>
                <w:rFonts w:cs="Times New Roman"/>
              </w:rPr>
            </w:pPr>
          </w:p>
        </w:tc>
        <w:tc>
          <w:tcPr>
            <w:tcW w:w="1620" w:type="dxa"/>
          </w:tcPr>
          <w:p w14:paraId="1BE65677" w14:textId="77777777" w:rsidR="0060331E" w:rsidRPr="00EF7C3F" w:rsidRDefault="0060331E" w:rsidP="0060331E">
            <w:pPr>
              <w:jc w:val="center"/>
              <w:rPr>
                <w:rFonts w:cs="Times New Roman"/>
              </w:rPr>
            </w:pPr>
          </w:p>
          <w:p w14:paraId="4B1418B8" w14:textId="3547CBA7" w:rsidR="00EF7C3F" w:rsidRPr="00EF7C3F" w:rsidRDefault="00EF7C3F" w:rsidP="0060331E">
            <w:pPr>
              <w:jc w:val="center"/>
              <w:rPr>
                <w:rFonts w:cs="Times New Roman"/>
              </w:rPr>
            </w:pPr>
            <m:oMath>
              <m:r>
                <w:rPr>
                  <w:rFonts w:ascii="Cambria Math" w:hAnsi="Cambria Math" w:cs="Times New Roman"/>
                </w:rPr>
                <m:t>≥</m:t>
              </m:r>
            </m:oMath>
            <w:r>
              <w:rPr>
                <w:rFonts w:cs="Times New Roman"/>
              </w:rPr>
              <w:t xml:space="preserve"> </w:t>
            </w:r>
            <w:r w:rsidRPr="00E243A9">
              <w:rPr>
                <w:rFonts w:cs="Times New Roman"/>
              </w:rPr>
              <w:t>85%</w:t>
            </w:r>
          </w:p>
        </w:tc>
        <w:tc>
          <w:tcPr>
            <w:tcW w:w="2880" w:type="dxa"/>
            <w:shd w:val="clear" w:color="auto" w:fill="99CC00"/>
          </w:tcPr>
          <w:p w14:paraId="0B236508" w14:textId="77777777" w:rsidR="00EF7C3F" w:rsidRDefault="00EF7C3F" w:rsidP="0060331E">
            <w:pPr>
              <w:jc w:val="center"/>
              <w:rPr>
                <w:rFonts w:cs="Times New Roman"/>
              </w:rPr>
            </w:pPr>
          </w:p>
          <w:p w14:paraId="5D051D1D" w14:textId="7D193C2B" w:rsidR="0060331E" w:rsidRPr="00E243A9" w:rsidRDefault="0060331E" w:rsidP="0060331E">
            <w:pPr>
              <w:jc w:val="center"/>
              <w:rPr>
                <w:rFonts w:cs="Times New Roman"/>
              </w:rPr>
            </w:pPr>
            <w:r w:rsidRPr="00E243A9">
              <w:rPr>
                <w:rFonts w:cs="Times New Roman"/>
              </w:rPr>
              <w:t>100%  (8/8)</w:t>
            </w:r>
          </w:p>
        </w:tc>
        <w:tc>
          <w:tcPr>
            <w:tcW w:w="2430" w:type="dxa"/>
            <w:vMerge/>
            <w:shd w:val="clear" w:color="auto" w:fill="FFFF99"/>
          </w:tcPr>
          <w:p w14:paraId="283ACC4F" w14:textId="77777777" w:rsidR="0060331E" w:rsidRPr="00E243A9" w:rsidRDefault="0060331E" w:rsidP="0060331E">
            <w:pPr>
              <w:rPr>
                <w:rFonts w:cs="Times New Roman"/>
              </w:rPr>
            </w:pPr>
          </w:p>
        </w:tc>
      </w:tr>
    </w:tbl>
    <w:p w14:paraId="1725FC04" w14:textId="77777777" w:rsidR="008C4C7C" w:rsidRDefault="008C4C7C" w:rsidP="00E243A9">
      <w:pPr>
        <w:rPr>
          <w:rFonts w:cs="Times New Roman"/>
          <w:i/>
        </w:rPr>
      </w:pPr>
    </w:p>
    <w:p w14:paraId="4FD0FD04" w14:textId="77777777" w:rsidR="00EF7C3F" w:rsidRDefault="00EF7C3F" w:rsidP="00E243A9">
      <w:pPr>
        <w:rPr>
          <w:rFonts w:cs="Times New Roman"/>
          <w:i/>
        </w:rPr>
      </w:pPr>
    </w:p>
    <w:p w14:paraId="1F877552" w14:textId="77777777" w:rsidR="00EF7C3F" w:rsidRDefault="00EF7C3F" w:rsidP="00E243A9">
      <w:pPr>
        <w:rPr>
          <w:rFonts w:cs="Times New Roman"/>
          <w:i/>
        </w:rPr>
      </w:pPr>
    </w:p>
    <w:p w14:paraId="2AAC8FBA" w14:textId="77777777" w:rsidR="00EF7C3F" w:rsidRDefault="00EF7C3F" w:rsidP="00E243A9">
      <w:pPr>
        <w:rPr>
          <w:rFonts w:cs="Times New Roman"/>
          <w:i/>
        </w:rPr>
      </w:pPr>
    </w:p>
    <w:p w14:paraId="4E449867" w14:textId="77777777" w:rsidR="003C2F23" w:rsidRDefault="003C2F23" w:rsidP="00E243A9">
      <w:pPr>
        <w:rPr>
          <w:rFonts w:cs="Times New Roman"/>
          <w:i/>
        </w:rPr>
      </w:pPr>
    </w:p>
    <w:p w14:paraId="45E97E55" w14:textId="77777777" w:rsidR="00DB1FE8" w:rsidRDefault="00DB1FE8" w:rsidP="00E243A9">
      <w:pPr>
        <w:rPr>
          <w:rFonts w:cs="Times New Roman"/>
          <w:i/>
        </w:rPr>
      </w:pPr>
    </w:p>
    <w:p w14:paraId="2CD0877E" w14:textId="77777777" w:rsidR="00DB1FE8" w:rsidRDefault="00DB1FE8" w:rsidP="00E243A9">
      <w:pPr>
        <w:rPr>
          <w:rFonts w:cs="Times New Roman"/>
          <w:i/>
        </w:rPr>
      </w:pPr>
    </w:p>
    <w:p w14:paraId="56EAC989" w14:textId="77777777" w:rsidR="00DB1FE8" w:rsidRDefault="00DB1FE8" w:rsidP="00E243A9">
      <w:pPr>
        <w:rPr>
          <w:rFonts w:cs="Times New Roman"/>
          <w:i/>
        </w:rPr>
      </w:pPr>
    </w:p>
    <w:p w14:paraId="5289F928" w14:textId="34B53F91" w:rsidR="00FE61B3" w:rsidRDefault="00FA1969" w:rsidP="00E243A9">
      <w:pPr>
        <w:rPr>
          <w:rFonts w:cs="Times New Roman"/>
          <w:i/>
        </w:rPr>
      </w:pPr>
      <w:r w:rsidRPr="007F06CC">
        <w:rPr>
          <w:rFonts w:cs="Times New Roman"/>
          <w:b/>
          <w:i/>
        </w:rPr>
        <w:lastRenderedPageBreak/>
        <w:t>Finding 2</w:t>
      </w:r>
      <w:r w:rsidRPr="00E243A9">
        <w:rPr>
          <w:rFonts w:cs="Times New Roman"/>
          <w:i/>
        </w:rPr>
        <w:t xml:space="preserve">: </w:t>
      </w:r>
      <w:r w:rsidR="006B5484">
        <w:rPr>
          <w:rFonts w:cs="Times New Roman"/>
          <w:i/>
        </w:rPr>
        <w:t>LCC Program of Study curriculum</w:t>
      </w:r>
      <w:r w:rsidR="009A1D14">
        <w:rPr>
          <w:rFonts w:cs="Times New Roman"/>
          <w:i/>
        </w:rPr>
        <w:t>s</w:t>
      </w:r>
      <w:r w:rsidR="006B5484">
        <w:rPr>
          <w:rFonts w:cs="Times New Roman"/>
          <w:i/>
        </w:rPr>
        <w:t xml:space="preserve"> </w:t>
      </w:r>
      <w:r w:rsidR="009A1D14">
        <w:rPr>
          <w:rFonts w:cs="Times New Roman"/>
          <w:i/>
        </w:rPr>
        <w:t>place</w:t>
      </w:r>
      <w:r w:rsidR="006B5484">
        <w:rPr>
          <w:rFonts w:cs="Times New Roman"/>
          <w:i/>
        </w:rPr>
        <w:t xml:space="preserve"> the greatest emphasis on student development of intellectual and practical skills. </w:t>
      </w:r>
      <w:r w:rsidR="004D0C86" w:rsidRPr="00E243A9">
        <w:rPr>
          <w:rFonts w:cs="Times New Roman"/>
          <w:i/>
        </w:rPr>
        <w:t xml:space="preserve"> </w:t>
      </w:r>
    </w:p>
    <w:p w14:paraId="55A8A441" w14:textId="6B3F8FB2" w:rsidR="006C5DF9" w:rsidRDefault="00F26D43" w:rsidP="00E243A9">
      <w:pPr>
        <w:rPr>
          <w:rFonts w:cs="Times New Roman"/>
        </w:rPr>
      </w:pPr>
      <w:r>
        <w:rPr>
          <w:rFonts w:cs="Times New Roman"/>
        </w:rPr>
        <w:t xml:space="preserve">LCC faculty </w:t>
      </w:r>
      <w:r w:rsidR="006B5484">
        <w:rPr>
          <w:rFonts w:cs="Times New Roman"/>
        </w:rPr>
        <w:t>prepare students for 21</w:t>
      </w:r>
      <w:r w:rsidR="006B5484" w:rsidRPr="006B5484">
        <w:rPr>
          <w:rFonts w:cs="Times New Roman"/>
          <w:vertAlign w:val="superscript"/>
        </w:rPr>
        <w:t>st</w:t>
      </w:r>
      <w:r w:rsidR="006B5484">
        <w:rPr>
          <w:rFonts w:cs="Times New Roman"/>
        </w:rPr>
        <w:t xml:space="preserve"> century challenges by </w:t>
      </w:r>
      <w:r>
        <w:rPr>
          <w:rFonts w:cs="Times New Roman"/>
        </w:rPr>
        <w:t>design</w:t>
      </w:r>
      <w:r w:rsidR="006B5484">
        <w:rPr>
          <w:rFonts w:cs="Times New Roman"/>
        </w:rPr>
        <w:t>ing</w:t>
      </w:r>
      <w:r>
        <w:rPr>
          <w:rFonts w:cs="Times New Roman"/>
        </w:rPr>
        <w:t xml:space="preserve"> </w:t>
      </w:r>
      <w:r w:rsidR="00704260">
        <w:rPr>
          <w:rFonts w:cs="Times New Roman"/>
        </w:rPr>
        <w:t xml:space="preserve">and teaching </w:t>
      </w:r>
      <w:r>
        <w:rPr>
          <w:rFonts w:cs="Times New Roman"/>
        </w:rPr>
        <w:t>curriculum</w:t>
      </w:r>
      <w:r w:rsidR="006B5484">
        <w:rPr>
          <w:rFonts w:cs="Times New Roman"/>
        </w:rPr>
        <w:t xml:space="preserve">s that align program level </w:t>
      </w:r>
      <w:r w:rsidR="00704260">
        <w:rPr>
          <w:rFonts w:cs="Times New Roman"/>
        </w:rPr>
        <w:t xml:space="preserve">learning outcomes </w:t>
      </w:r>
      <w:r w:rsidR="006B5484">
        <w:rPr>
          <w:rFonts w:cs="Times New Roman"/>
        </w:rPr>
        <w:t xml:space="preserve">with institutional level </w:t>
      </w:r>
      <w:r w:rsidR="00704260">
        <w:rPr>
          <w:rFonts w:cs="Times New Roman"/>
        </w:rPr>
        <w:t xml:space="preserve">learning </w:t>
      </w:r>
      <w:r w:rsidR="006B5484">
        <w:rPr>
          <w:rFonts w:cs="Times New Roman"/>
        </w:rPr>
        <w:t>outcomes</w:t>
      </w:r>
      <w:r>
        <w:rPr>
          <w:rFonts w:cs="Times New Roman"/>
        </w:rPr>
        <w:t xml:space="preserve">. This approach </w:t>
      </w:r>
      <w:r w:rsidR="00704260">
        <w:rPr>
          <w:rFonts w:cs="Times New Roman"/>
        </w:rPr>
        <w:t>allows stud</w:t>
      </w:r>
      <w:r w:rsidR="001E52B8">
        <w:rPr>
          <w:rFonts w:cs="Times New Roman"/>
        </w:rPr>
        <w:t xml:space="preserve">ents to progressively develop </w:t>
      </w:r>
      <w:r w:rsidR="006B5484">
        <w:rPr>
          <w:rFonts w:cs="Times New Roman"/>
        </w:rPr>
        <w:t xml:space="preserve">deeper learning of each institutional level outcome </w:t>
      </w:r>
      <w:r w:rsidR="00704260">
        <w:rPr>
          <w:rFonts w:cs="Times New Roman"/>
        </w:rPr>
        <w:t xml:space="preserve">with the following percentage of curriculum aligned to each institutional learning outcome: </w:t>
      </w:r>
      <w:r w:rsidR="005C2089">
        <w:rPr>
          <w:rFonts w:cs="Times New Roman"/>
        </w:rPr>
        <w:t>44</w:t>
      </w:r>
      <w:r w:rsidR="006C5DF9" w:rsidRPr="006C5DF9">
        <w:rPr>
          <w:rFonts w:cs="Times New Roman"/>
        </w:rPr>
        <w:t xml:space="preserve">% of learning outcomes </w:t>
      </w:r>
      <w:r w:rsidR="001E52B8">
        <w:rPr>
          <w:rFonts w:cs="Times New Roman"/>
        </w:rPr>
        <w:t>aligne</w:t>
      </w:r>
      <w:r w:rsidR="006C5DF9" w:rsidRPr="006C5DF9">
        <w:rPr>
          <w:rFonts w:cs="Times New Roman"/>
        </w:rPr>
        <w:t>d to ELO 1: Knowledge of human cultures and th</w:t>
      </w:r>
      <w:r w:rsidR="005C2089">
        <w:rPr>
          <w:rFonts w:cs="Times New Roman"/>
        </w:rPr>
        <w:t>e physical and natural world; 59</w:t>
      </w:r>
      <w:r w:rsidR="006C5DF9" w:rsidRPr="006C5DF9">
        <w:rPr>
          <w:rFonts w:cs="Times New Roman"/>
        </w:rPr>
        <w:t xml:space="preserve">% of learning outcomes </w:t>
      </w:r>
      <w:r w:rsidR="001E52B8">
        <w:rPr>
          <w:rFonts w:cs="Times New Roman"/>
        </w:rPr>
        <w:t>align</w:t>
      </w:r>
      <w:r w:rsidR="006C5DF9" w:rsidRPr="006C5DF9">
        <w:rPr>
          <w:rFonts w:cs="Times New Roman"/>
        </w:rPr>
        <w:t>ed to ELO 2: Intel</w:t>
      </w:r>
      <w:r w:rsidR="005C2089">
        <w:rPr>
          <w:rFonts w:cs="Times New Roman"/>
        </w:rPr>
        <w:t>lectual and practical skills; 39</w:t>
      </w:r>
      <w:r w:rsidR="006C5DF9" w:rsidRPr="006C5DF9">
        <w:rPr>
          <w:rFonts w:cs="Times New Roman"/>
        </w:rPr>
        <w:t xml:space="preserve">% of learning outcomes </w:t>
      </w:r>
      <w:r w:rsidR="001E52B8">
        <w:rPr>
          <w:rFonts w:cs="Times New Roman"/>
        </w:rPr>
        <w:t>align</w:t>
      </w:r>
      <w:r w:rsidR="006C5DF9" w:rsidRPr="006C5DF9">
        <w:rPr>
          <w:rFonts w:cs="Times New Roman"/>
        </w:rPr>
        <w:t>ed to ELO 3: Personal an</w:t>
      </w:r>
      <w:r w:rsidR="005C2089">
        <w:rPr>
          <w:rFonts w:cs="Times New Roman"/>
        </w:rPr>
        <w:t>d social responsibility; and, 53</w:t>
      </w:r>
      <w:r w:rsidR="006C5DF9" w:rsidRPr="006C5DF9">
        <w:rPr>
          <w:rFonts w:cs="Times New Roman"/>
        </w:rPr>
        <w:t>% of learning outco</w:t>
      </w:r>
      <w:r w:rsidR="00672F82">
        <w:rPr>
          <w:rFonts w:cs="Times New Roman"/>
        </w:rPr>
        <w:t>m</w:t>
      </w:r>
      <w:r w:rsidR="006C5DF9" w:rsidRPr="006C5DF9">
        <w:rPr>
          <w:rFonts w:cs="Times New Roman"/>
        </w:rPr>
        <w:t xml:space="preserve">es </w:t>
      </w:r>
      <w:r w:rsidR="001E52B8">
        <w:rPr>
          <w:rFonts w:cs="Times New Roman"/>
        </w:rPr>
        <w:t>aligne</w:t>
      </w:r>
      <w:r w:rsidR="006C5DF9" w:rsidRPr="006C5DF9">
        <w:rPr>
          <w:rFonts w:cs="Times New Roman"/>
        </w:rPr>
        <w:t xml:space="preserve">d to ELO 4: Integrative and applied learning. </w:t>
      </w:r>
    </w:p>
    <w:p w14:paraId="45C71C15" w14:textId="61D76AC1" w:rsidR="005C2089" w:rsidRPr="006C5DF9" w:rsidRDefault="005C2089" w:rsidP="00E243A9">
      <w:pPr>
        <w:rPr>
          <w:rFonts w:cs="Times New Roman"/>
        </w:rPr>
      </w:pPr>
      <w:r>
        <w:rPr>
          <w:rFonts w:cs="Times New Roman"/>
        </w:rPr>
        <w:t xml:space="preserve">The following table shows the percentage of </w:t>
      </w:r>
      <w:r w:rsidR="001E52B8">
        <w:rPr>
          <w:rFonts w:cs="Times New Roman"/>
        </w:rPr>
        <w:t>LCC c</w:t>
      </w:r>
      <w:r>
        <w:rPr>
          <w:rFonts w:cs="Times New Roman"/>
        </w:rPr>
        <w:t>urriculum aligned to each institutional learning outcome.</w:t>
      </w:r>
    </w:p>
    <w:p w14:paraId="4BD6162E" w14:textId="3EB0FD4D" w:rsidR="005518AD" w:rsidRDefault="00857EEC" w:rsidP="00DF75C5">
      <w:pPr>
        <w:pStyle w:val="NoSpacing"/>
      </w:pPr>
      <w:r>
        <w:rPr>
          <w:noProof/>
        </w:rPr>
        <w:drawing>
          <wp:inline distT="0" distB="0" distL="0" distR="0" wp14:anchorId="26F252CF" wp14:editId="45B3B5E6">
            <wp:extent cx="6610350" cy="43243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1DD25A" w14:textId="77777777" w:rsidR="005518AD" w:rsidRDefault="005518AD" w:rsidP="00EF7C3F">
      <w:pPr>
        <w:pStyle w:val="NoSpacing"/>
      </w:pPr>
    </w:p>
    <w:p w14:paraId="2EF662FC" w14:textId="77777777" w:rsidR="007E2B45" w:rsidRDefault="007E2B45" w:rsidP="00EF7C3F">
      <w:pPr>
        <w:pStyle w:val="NoSpacing"/>
      </w:pPr>
    </w:p>
    <w:p w14:paraId="09511001" w14:textId="77777777" w:rsidR="00B35026" w:rsidRDefault="00B35026" w:rsidP="00EF7C3F">
      <w:pPr>
        <w:pStyle w:val="NoSpacing"/>
      </w:pPr>
    </w:p>
    <w:p w14:paraId="05DFB9F4" w14:textId="77777777" w:rsidR="00B35026" w:rsidRDefault="00B35026" w:rsidP="00EF7C3F">
      <w:pPr>
        <w:pStyle w:val="NoSpacing"/>
      </w:pPr>
    </w:p>
    <w:p w14:paraId="6D987720" w14:textId="367C08C8" w:rsidR="00EF7C3F" w:rsidRDefault="007F06CC" w:rsidP="00EF7C3F">
      <w:pPr>
        <w:pStyle w:val="NoSpacing"/>
      </w:pPr>
      <w:r>
        <w:lastRenderedPageBreak/>
        <w:t>The following are examples</w:t>
      </w:r>
      <w:r w:rsidR="00C33BAB">
        <w:t xml:space="preserve"> of how LCC faculty integrates LCC’s </w:t>
      </w:r>
      <w:r w:rsidR="00672F82">
        <w:t>institutional learning outcomes across P</w:t>
      </w:r>
      <w:r w:rsidR="00C33BAB">
        <w:t>rogram of Study curriculums.</w:t>
      </w:r>
    </w:p>
    <w:p w14:paraId="24CC747B" w14:textId="77777777" w:rsidR="00C33BAB" w:rsidRDefault="00C33BAB" w:rsidP="00EF7C3F">
      <w:pPr>
        <w:pStyle w:val="NoSpacing"/>
      </w:pPr>
    </w:p>
    <w:tbl>
      <w:tblPr>
        <w:tblStyle w:val="TableGrid"/>
        <w:tblW w:w="0" w:type="auto"/>
        <w:tblLook w:val="04A0" w:firstRow="1" w:lastRow="0" w:firstColumn="1" w:lastColumn="0" w:noHBand="0" w:noVBand="1"/>
      </w:tblPr>
      <w:tblGrid>
        <w:gridCol w:w="1968"/>
        <w:gridCol w:w="2025"/>
        <w:gridCol w:w="2020"/>
        <w:gridCol w:w="2017"/>
        <w:gridCol w:w="2040"/>
      </w:tblGrid>
      <w:tr w:rsidR="00C33BAB" w14:paraId="09EC9D48" w14:textId="77777777" w:rsidTr="002B18A4">
        <w:tc>
          <w:tcPr>
            <w:tcW w:w="2059" w:type="dxa"/>
            <w:tcBorders>
              <w:bottom w:val="single" w:sz="4" w:space="0" w:color="auto"/>
            </w:tcBorders>
            <w:shd w:val="clear" w:color="auto" w:fill="E6E6E6"/>
          </w:tcPr>
          <w:p w14:paraId="35684E78" w14:textId="2FBCB869" w:rsidR="00672F82" w:rsidRDefault="00EF7C3F">
            <w:pPr>
              <w:rPr>
                <w:rFonts w:cs="Times New Roman"/>
                <w:sz w:val="22"/>
                <w:szCs w:val="22"/>
              </w:rPr>
            </w:pPr>
            <w:r w:rsidRPr="002B18A4">
              <w:rPr>
                <w:rFonts w:cs="Times New Roman"/>
                <w:sz w:val="22"/>
                <w:szCs w:val="22"/>
              </w:rPr>
              <w:br w:type="page"/>
            </w:r>
          </w:p>
          <w:p w14:paraId="21E03E9D" w14:textId="77777777" w:rsidR="00DB16B7" w:rsidRPr="002B18A4" w:rsidRDefault="00DB16B7">
            <w:pPr>
              <w:rPr>
                <w:rFonts w:cs="Times New Roman"/>
                <w:b/>
                <w:sz w:val="22"/>
                <w:szCs w:val="22"/>
              </w:rPr>
            </w:pPr>
          </w:p>
          <w:p w14:paraId="06DC3BBD" w14:textId="77777777" w:rsidR="00C33BAB" w:rsidRPr="002B18A4" w:rsidRDefault="00C33BAB" w:rsidP="00672F82">
            <w:pPr>
              <w:jc w:val="center"/>
              <w:rPr>
                <w:rFonts w:cs="Times New Roman"/>
                <w:b/>
                <w:sz w:val="22"/>
                <w:szCs w:val="22"/>
              </w:rPr>
            </w:pPr>
            <w:r w:rsidRPr="002B18A4">
              <w:rPr>
                <w:rFonts w:cs="Times New Roman"/>
                <w:b/>
                <w:sz w:val="22"/>
                <w:szCs w:val="22"/>
              </w:rPr>
              <w:t>Institutional Learning Outcome</w:t>
            </w:r>
          </w:p>
          <w:p w14:paraId="09A14951" w14:textId="3BD6AAEE" w:rsidR="002B18A4" w:rsidRPr="002B18A4" w:rsidRDefault="002B18A4" w:rsidP="00672F82">
            <w:pPr>
              <w:jc w:val="center"/>
              <w:rPr>
                <w:rFonts w:cs="Times New Roman"/>
                <w:b/>
                <w:sz w:val="22"/>
                <w:szCs w:val="22"/>
              </w:rPr>
            </w:pPr>
          </w:p>
        </w:tc>
        <w:tc>
          <w:tcPr>
            <w:tcW w:w="2059" w:type="dxa"/>
            <w:tcBorders>
              <w:bottom w:val="single" w:sz="4" w:space="0" w:color="auto"/>
            </w:tcBorders>
            <w:shd w:val="clear" w:color="auto" w:fill="E6E6E6"/>
          </w:tcPr>
          <w:p w14:paraId="1DAD246E" w14:textId="77777777" w:rsidR="002B18A4" w:rsidRPr="002B18A4" w:rsidRDefault="002B18A4" w:rsidP="00672F82">
            <w:pPr>
              <w:jc w:val="center"/>
              <w:rPr>
                <w:rFonts w:cs="Times New Roman"/>
                <w:sz w:val="22"/>
                <w:szCs w:val="22"/>
              </w:rPr>
            </w:pPr>
          </w:p>
          <w:p w14:paraId="00EBE5EF" w14:textId="77777777" w:rsidR="00C33BAB" w:rsidRDefault="00C33BAB" w:rsidP="00672F82">
            <w:pPr>
              <w:jc w:val="center"/>
              <w:rPr>
                <w:rFonts w:cs="Times New Roman"/>
                <w:sz w:val="22"/>
                <w:szCs w:val="22"/>
              </w:rPr>
            </w:pPr>
            <w:r w:rsidRPr="002B18A4">
              <w:rPr>
                <w:rFonts w:cs="Times New Roman"/>
                <w:sz w:val="22"/>
                <w:szCs w:val="22"/>
              </w:rPr>
              <w:t>Knowledge of Human Cultures and the Physical and Natural World</w:t>
            </w:r>
          </w:p>
          <w:p w14:paraId="0B86687E" w14:textId="07611BFD" w:rsidR="002B18A4" w:rsidRPr="002B18A4" w:rsidRDefault="002B18A4" w:rsidP="00672F82">
            <w:pPr>
              <w:jc w:val="center"/>
              <w:rPr>
                <w:rFonts w:cs="Times New Roman"/>
                <w:sz w:val="22"/>
                <w:szCs w:val="22"/>
              </w:rPr>
            </w:pPr>
          </w:p>
        </w:tc>
        <w:tc>
          <w:tcPr>
            <w:tcW w:w="2059" w:type="dxa"/>
            <w:tcBorders>
              <w:bottom w:val="single" w:sz="4" w:space="0" w:color="auto"/>
            </w:tcBorders>
            <w:shd w:val="clear" w:color="auto" w:fill="E6E6E6"/>
          </w:tcPr>
          <w:p w14:paraId="165B4CBB" w14:textId="77777777" w:rsidR="002B18A4" w:rsidRPr="002B18A4" w:rsidRDefault="002B18A4" w:rsidP="00672F82">
            <w:pPr>
              <w:jc w:val="center"/>
              <w:rPr>
                <w:rFonts w:cs="Times New Roman"/>
                <w:sz w:val="22"/>
                <w:szCs w:val="22"/>
              </w:rPr>
            </w:pPr>
          </w:p>
          <w:p w14:paraId="3E6368DD" w14:textId="1F089A03" w:rsidR="00C33BAB" w:rsidRPr="002B18A4" w:rsidRDefault="00C33BAB" w:rsidP="00672F82">
            <w:pPr>
              <w:jc w:val="center"/>
              <w:rPr>
                <w:rFonts w:cs="Times New Roman"/>
                <w:sz w:val="22"/>
                <w:szCs w:val="22"/>
              </w:rPr>
            </w:pPr>
            <w:r w:rsidRPr="002B18A4">
              <w:rPr>
                <w:rFonts w:cs="Times New Roman"/>
                <w:sz w:val="22"/>
                <w:szCs w:val="22"/>
              </w:rPr>
              <w:t>Intellectual and Practical Skills</w:t>
            </w:r>
          </w:p>
        </w:tc>
        <w:tc>
          <w:tcPr>
            <w:tcW w:w="2059" w:type="dxa"/>
            <w:tcBorders>
              <w:bottom w:val="single" w:sz="4" w:space="0" w:color="auto"/>
            </w:tcBorders>
            <w:shd w:val="clear" w:color="auto" w:fill="E6E6E6"/>
          </w:tcPr>
          <w:p w14:paraId="479B6153" w14:textId="77777777" w:rsidR="002B18A4" w:rsidRPr="002B18A4" w:rsidRDefault="002B18A4" w:rsidP="00672F82">
            <w:pPr>
              <w:jc w:val="center"/>
              <w:rPr>
                <w:rFonts w:cs="Times New Roman"/>
                <w:sz w:val="22"/>
                <w:szCs w:val="22"/>
              </w:rPr>
            </w:pPr>
          </w:p>
          <w:p w14:paraId="06BABDE1" w14:textId="4D17E95B" w:rsidR="00C33BAB" w:rsidRPr="002B18A4" w:rsidRDefault="00C33BAB" w:rsidP="00672F82">
            <w:pPr>
              <w:jc w:val="center"/>
              <w:rPr>
                <w:rFonts w:cs="Times New Roman"/>
                <w:sz w:val="22"/>
                <w:szCs w:val="22"/>
              </w:rPr>
            </w:pPr>
            <w:r w:rsidRPr="002B18A4">
              <w:rPr>
                <w:rFonts w:cs="Times New Roman"/>
                <w:sz w:val="22"/>
                <w:szCs w:val="22"/>
              </w:rPr>
              <w:t>Personal and Social Responsibility</w:t>
            </w:r>
          </w:p>
        </w:tc>
        <w:tc>
          <w:tcPr>
            <w:tcW w:w="2060" w:type="dxa"/>
            <w:tcBorders>
              <w:bottom w:val="single" w:sz="4" w:space="0" w:color="auto"/>
            </w:tcBorders>
            <w:shd w:val="clear" w:color="auto" w:fill="E6E6E6"/>
          </w:tcPr>
          <w:p w14:paraId="2EF17A41" w14:textId="77777777" w:rsidR="002B18A4" w:rsidRPr="002B18A4" w:rsidRDefault="002B18A4" w:rsidP="00672F82">
            <w:pPr>
              <w:jc w:val="center"/>
              <w:rPr>
                <w:rFonts w:cs="Times New Roman"/>
                <w:sz w:val="22"/>
                <w:szCs w:val="22"/>
              </w:rPr>
            </w:pPr>
          </w:p>
          <w:p w14:paraId="4513212D" w14:textId="034A7E76" w:rsidR="00C33BAB" w:rsidRPr="002B18A4" w:rsidRDefault="00C33BAB" w:rsidP="00672F82">
            <w:pPr>
              <w:jc w:val="center"/>
              <w:rPr>
                <w:rFonts w:cs="Times New Roman"/>
                <w:sz w:val="22"/>
                <w:szCs w:val="22"/>
              </w:rPr>
            </w:pPr>
            <w:r w:rsidRPr="002B18A4">
              <w:rPr>
                <w:rFonts w:cs="Times New Roman"/>
                <w:sz w:val="22"/>
                <w:szCs w:val="22"/>
              </w:rPr>
              <w:t>Integrative and Applied Learning</w:t>
            </w:r>
          </w:p>
        </w:tc>
      </w:tr>
      <w:tr w:rsidR="00C33BAB" w14:paraId="0BD88A90" w14:textId="77777777" w:rsidTr="002B18A4">
        <w:tc>
          <w:tcPr>
            <w:tcW w:w="2059" w:type="dxa"/>
            <w:shd w:val="clear" w:color="auto" w:fill="F3F3F3"/>
          </w:tcPr>
          <w:p w14:paraId="7D971B8B" w14:textId="77777777" w:rsidR="00672F82" w:rsidRPr="002B18A4" w:rsidRDefault="00672F82">
            <w:pPr>
              <w:rPr>
                <w:rFonts w:cs="Times New Roman"/>
                <w:b/>
                <w:sz w:val="22"/>
                <w:szCs w:val="22"/>
              </w:rPr>
            </w:pPr>
          </w:p>
          <w:p w14:paraId="2908AE6A" w14:textId="77777777" w:rsidR="00672F82" w:rsidRDefault="00672F82">
            <w:pPr>
              <w:rPr>
                <w:rFonts w:cs="Times New Roman"/>
                <w:b/>
                <w:sz w:val="22"/>
                <w:szCs w:val="22"/>
              </w:rPr>
            </w:pPr>
          </w:p>
          <w:p w14:paraId="32CEBE6A" w14:textId="77777777" w:rsidR="00DB16B7" w:rsidRDefault="00DB16B7">
            <w:pPr>
              <w:rPr>
                <w:rFonts w:cs="Times New Roman"/>
                <w:b/>
                <w:sz w:val="22"/>
                <w:szCs w:val="22"/>
              </w:rPr>
            </w:pPr>
          </w:p>
          <w:p w14:paraId="406BB6E2" w14:textId="77777777" w:rsidR="00DB16B7" w:rsidRDefault="00DB16B7">
            <w:pPr>
              <w:rPr>
                <w:rFonts w:cs="Times New Roman"/>
                <w:b/>
                <w:sz w:val="22"/>
                <w:szCs w:val="22"/>
              </w:rPr>
            </w:pPr>
          </w:p>
          <w:p w14:paraId="555A9624" w14:textId="302BA3BE" w:rsidR="00C33BAB" w:rsidRPr="002B18A4" w:rsidRDefault="00C33BAB" w:rsidP="00672F82">
            <w:pPr>
              <w:jc w:val="center"/>
              <w:rPr>
                <w:rFonts w:cs="Times New Roman"/>
                <w:b/>
                <w:sz w:val="22"/>
                <w:szCs w:val="22"/>
              </w:rPr>
            </w:pPr>
            <w:r w:rsidRPr="002B18A4">
              <w:rPr>
                <w:rFonts w:cs="Times New Roman"/>
                <w:b/>
                <w:sz w:val="22"/>
                <w:szCs w:val="22"/>
              </w:rPr>
              <w:t>Curriculum Design Examples</w:t>
            </w:r>
          </w:p>
        </w:tc>
        <w:tc>
          <w:tcPr>
            <w:tcW w:w="2059" w:type="dxa"/>
            <w:shd w:val="clear" w:color="auto" w:fill="F3F3F3"/>
          </w:tcPr>
          <w:p w14:paraId="49EC85D8" w14:textId="77777777" w:rsidR="002B18A4" w:rsidRPr="002B18A4" w:rsidRDefault="002B18A4" w:rsidP="002B18A4">
            <w:pPr>
              <w:jc w:val="center"/>
              <w:rPr>
                <w:rFonts w:cs="Times New Roman"/>
                <w:sz w:val="22"/>
                <w:szCs w:val="22"/>
              </w:rPr>
            </w:pPr>
          </w:p>
          <w:p w14:paraId="0F3ECBC2" w14:textId="79594B1B" w:rsidR="00C33BAB" w:rsidRPr="00B35026" w:rsidRDefault="00E10B66" w:rsidP="00B35026">
            <w:pPr>
              <w:pStyle w:val="ListParagraph"/>
              <w:numPr>
                <w:ilvl w:val="0"/>
                <w:numId w:val="20"/>
              </w:numPr>
              <w:spacing w:after="0"/>
              <w:rPr>
                <w:rFonts w:cs="Times New Roman"/>
              </w:rPr>
            </w:pPr>
            <w:r w:rsidRPr="00B35026">
              <w:rPr>
                <w:rFonts w:cs="Times New Roman"/>
              </w:rPr>
              <w:t>Engaging students with big questions, both contemporary and enduring</w:t>
            </w:r>
          </w:p>
        </w:tc>
        <w:tc>
          <w:tcPr>
            <w:tcW w:w="2059" w:type="dxa"/>
            <w:shd w:val="clear" w:color="auto" w:fill="F3F3F3"/>
          </w:tcPr>
          <w:p w14:paraId="11D7948D" w14:textId="77777777" w:rsidR="002B18A4" w:rsidRPr="002B18A4" w:rsidRDefault="002B18A4" w:rsidP="002B18A4">
            <w:pPr>
              <w:jc w:val="center"/>
              <w:rPr>
                <w:rFonts w:cs="Times New Roman"/>
                <w:sz w:val="22"/>
                <w:szCs w:val="22"/>
              </w:rPr>
            </w:pPr>
          </w:p>
          <w:p w14:paraId="7FDD3B20" w14:textId="77777777" w:rsidR="00C33BAB" w:rsidRPr="00B35026" w:rsidRDefault="00E10B66" w:rsidP="00B35026">
            <w:pPr>
              <w:pStyle w:val="ListParagraph"/>
              <w:numPr>
                <w:ilvl w:val="0"/>
                <w:numId w:val="20"/>
              </w:numPr>
              <w:spacing w:after="0"/>
              <w:rPr>
                <w:rFonts w:cs="Times New Roman"/>
              </w:rPr>
            </w:pPr>
            <w:r w:rsidRPr="00B35026">
              <w:rPr>
                <w:rFonts w:cs="Times New Roman"/>
              </w:rPr>
              <w:t>Provide opportunities to practice skills extensively across the Program of Study curriculum</w:t>
            </w:r>
          </w:p>
          <w:p w14:paraId="0528628C" w14:textId="77777777" w:rsidR="00E10B66" w:rsidRPr="00B35026" w:rsidRDefault="00E10B66" w:rsidP="00B35026">
            <w:pPr>
              <w:pStyle w:val="ListParagraph"/>
              <w:numPr>
                <w:ilvl w:val="0"/>
                <w:numId w:val="20"/>
              </w:numPr>
              <w:spacing w:after="0"/>
              <w:rPr>
                <w:rFonts w:cs="Times New Roman"/>
              </w:rPr>
            </w:pPr>
            <w:r w:rsidRPr="00B35026">
              <w:rPr>
                <w:rFonts w:cs="Times New Roman"/>
              </w:rPr>
              <w:t>Provide progressively more challenging problems, projects, and standards for performance</w:t>
            </w:r>
          </w:p>
          <w:p w14:paraId="771B7B6F" w14:textId="3D77E5F6" w:rsidR="002B18A4" w:rsidRPr="002B18A4" w:rsidRDefault="002B18A4" w:rsidP="002B18A4">
            <w:pPr>
              <w:jc w:val="center"/>
              <w:rPr>
                <w:rFonts w:cs="Times New Roman"/>
                <w:sz w:val="22"/>
                <w:szCs w:val="22"/>
              </w:rPr>
            </w:pPr>
          </w:p>
        </w:tc>
        <w:tc>
          <w:tcPr>
            <w:tcW w:w="2059" w:type="dxa"/>
            <w:shd w:val="clear" w:color="auto" w:fill="F3F3F3"/>
          </w:tcPr>
          <w:p w14:paraId="12A1BA81" w14:textId="77777777" w:rsidR="002B18A4" w:rsidRPr="002B18A4" w:rsidRDefault="002B18A4" w:rsidP="002B18A4">
            <w:pPr>
              <w:jc w:val="center"/>
              <w:rPr>
                <w:rFonts w:cs="Times New Roman"/>
                <w:sz w:val="22"/>
                <w:szCs w:val="22"/>
              </w:rPr>
            </w:pPr>
          </w:p>
          <w:p w14:paraId="3BBDED61" w14:textId="77777777" w:rsidR="00C33BAB" w:rsidRPr="00B35026" w:rsidRDefault="00E10B66" w:rsidP="00B35026">
            <w:pPr>
              <w:pStyle w:val="ListParagraph"/>
              <w:numPr>
                <w:ilvl w:val="0"/>
                <w:numId w:val="20"/>
              </w:numPr>
              <w:spacing w:after="0"/>
              <w:rPr>
                <w:rFonts w:cs="Times New Roman"/>
              </w:rPr>
            </w:pPr>
            <w:r w:rsidRPr="00B35026">
              <w:rPr>
                <w:rFonts w:cs="Times New Roman"/>
              </w:rPr>
              <w:t>Provide real-world challenges</w:t>
            </w:r>
          </w:p>
          <w:p w14:paraId="745B46BC" w14:textId="71A33820" w:rsidR="00E10B66" w:rsidRPr="00B35026" w:rsidRDefault="00E10B66" w:rsidP="00B35026">
            <w:pPr>
              <w:pStyle w:val="ListParagraph"/>
              <w:numPr>
                <w:ilvl w:val="0"/>
                <w:numId w:val="20"/>
              </w:numPr>
              <w:spacing w:after="0"/>
              <w:rPr>
                <w:rFonts w:cs="Times New Roman"/>
              </w:rPr>
            </w:pPr>
            <w:r w:rsidRPr="00B35026">
              <w:rPr>
                <w:rFonts w:cs="Times New Roman"/>
              </w:rPr>
              <w:t>Encourage and provide opportunities for active involvement with diverse communities</w:t>
            </w:r>
          </w:p>
        </w:tc>
        <w:tc>
          <w:tcPr>
            <w:tcW w:w="2060" w:type="dxa"/>
            <w:shd w:val="clear" w:color="auto" w:fill="F3F3F3"/>
          </w:tcPr>
          <w:p w14:paraId="617CA08E" w14:textId="77777777" w:rsidR="002B18A4" w:rsidRPr="002B18A4" w:rsidRDefault="002B18A4" w:rsidP="002B18A4">
            <w:pPr>
              <w:jc w:val="center"/>
              <w:rPr>
                <w:rFonts w:cs="Times New Roman"/>
                <w:sz w:val="22"/>
                <w:szCs w:val="22"/>
              </w:rPr>
            </w:pPr>
          </w:p>
          <w:p w14:paraId="09A213E7" w14:textId="77777777" w:rsidR="00C33BAB" w:rsidRPr="00B35026" w:rsidRDefault="00E10B66" w:rsidP="00B35026">
            <w:pPr>
              <w:pStyle w:val="ListParagraph"/>
              <w:numPr>
                <w:ilvl w:val="0"/>
                <w:numId w:val="20"/>
              </w:numPr>
              <w:spacing w:after="0"/>
              <w:rPr>
                <w:rFonts w:cs="Times New Roman"/>
              </w:rPr>
            </w:pPr>
            <w:r w:rsidRPr="00B35026">
              <w:rPr>
                <w:rFonts w:cs="Times New Roman"/>
              </w:rPr>
              <w:t>Connect and synthesize learning across the curriculum</w:t>
            </w:r>
          </w:p>
          <w:p w14:paraId="6CB58C69" w14:textId="6791813D" w:rsidR="00E10B66" w:rsidRPr="00B35026" w:rsidRDefault="00E10B66" w:rsidP="00B35026">
            <w:pPr>
              <w:pStyle w:val="ListParagraph"/>
              <w:numPr>
                <w:ilvl w:val="0"/>
                <w:numId w:val="20"/>
              </w:numPr>
              <w:spacing w:after="0"/>
              <w:rPr>
                <w:rFonts w:cs="Times New Roman"/>
              </w:rPr>
            </w:pPr>
            <w:r w:rsidRPr="00B35026">
              <w:rPr>
                <w:rFonts w:cs="Times New Roman"/>
              </w:rPr>
              <w:t>Provide extensive opportunities for the application of knowledge, skills, and responsibilities to new settings and complex problems</w:t>
            </w:r>
          </w:p>
        </w:tc>
      </w:tr>
    </w:tbl>
    <w:p w14:paraId="0D1EF24D" w14:textId="1134D077" w:rsidR="00EF7C3F" w:rsidRDefault="00E10B66">
      <w:pPr>
        <w:rPr>
          <w:i/>
          <w:sz w:val="20"/>
          <w:szCs w:val="20"/>
        </w:rPr>
      </w:pPr>
      <w:r w:rsidRPr="00E10B66">
        <w:rPr>
          <w:i/>
          <w:sz w:val="20"/>
          <w:szCs w:val="20"/>
        </w:rPr>
        <w:t>Adapted from LEAP Executive Summary, 2008</w:t>
      </w:r>
    </w:p>
    <w:p w14:paraId="7AD50BE8" w14:textId="77777777" w:rsidR="005518AD" w:rsidRDefault="005518AD">
      <w:pPr>
        <w:rPr>
          <w:i/>
          <w:sz w:val="20"/>
          <w:szCs w:val="20"/>
        </w:rPr>
      </w:pPr>
    </w:p>
    <w:p w14:paraId="5061E42D" w14:textId="77777777" w:rsidR="00B6403E" w:rsidRDefault="00B6403E">
      <w:pPr>
        <w:rPr>
          <w:i/>
          <w:sz w:val="20"/>
          <w:szCs w:val="20"/>
        </w:rPr>
      </w:pPr>
    </w:p>
    <w:p w14:paraId="5A36B386" w14:textId="77777777" w:rsidR="005518AD" w:rsidRDefault="005518AD">
      <w:pPr>
        <w:rPr>
          <w:i/>
          <w:sz w:val="20"/>
          <w:szCs w:val="20"/>
        </w:rPr>
      </w:pPr>
    </w:p>
    <w:p w14:paraId="44CD93EC" w14:textId="77777777" w:rsidR="00795370" w:rsidRDefault="00795370">
      <w:pPr>
        <w:rPr>
          <w:i/>
          <w:sz w:val="20"/>
          <w:szCs w:val="20"/>
        </w:rPr>
      </w:pPr>
    </w:p>
    <w:p w14:paraId="1DB08BD8" w14:textId="77777777" w:rsidR="00795370" w:rsidRDefault="00795370">
      <w:pPr>
        <w:rPr>
          <w:i/>
          <w:sz w:val="20"/>
          <w:szCs w:val="20"/>
        </w:rPr>
      </w:pPr>
    </w:p>
    <w:p w14:paraId="18F19F69" w14:textId="77777777" w:rsidR="00795370" w:rsidRDefault="00795370">
      <w:pPr>
        <w:rPr>
          <w:i/>
          <w:sz w:val="20"/>
          <w:szCs w:val="20"/>
        </w:rPr>
      </w:pPr>
    </w:p>
    <w:p w14:paraId="7A27BBF7" w14:textId="77777777" w:rsidR="00E3263F" w:rsidRDefault="00E3263F">
      <w:pPr>
        <w:rPr>
          <w:i/>
          <w:sz w:val="20"/>
          <w:szCs w:val="20"/>
        </w:rPr>
      </w:pPr>
    </w:p>
    <w:p w14:paraId="087D2CA1" w14:textId="77777777" w:rsidR="00795370" w:rsidRDefault="00795370">
      <w:pPr>
        <w:rPr>
          <w:i/>
          <w:sz w:val="20"/>
          <w:szCs w:val="20"/>
        </w:rPr>
      </w:pPr>
    </w:p>
    <w:p w14:paraId="63FEB9AF" w14:textId="77777777" w:rsidR="00B422BD" w:rsidRDefault="00B422BD">
      <w:pPr>
        <w:rPr>
          <w:i/>
          <w:sz w:val="20"/>
          <w:szCs w:val="20"/>
        </w:rPr>
      </w:pPr>
    </w:p>
    <w:p w14:paraId="562FBD4E" w14:textId="0E94ADC7" w:rsidR="00F82486" w:rsidRPr="00332CAD" w:rsidRDefault="00B35026" w:rsidP="00332CAD">
      <w:pPr>
        <w:pStyle w:val="Heading2"/>
        <w:rPr>
          <w:szCs w:val="24"/>
        </w:rPr>
      </w:pPr>
      <w:bookmarkStart w:id="5" w:name="_Toc445381107"/>
      <w:r>
        <w:rPr>
          <w:szCs w:val="24"/>
        </w:rPr>
        <w:lastRenderedPageBreak/>
        <w:t>P</w:t>
      </w:r>
      <w:r w:rsidR="00FC6DF1" w:rsidRPr="00332CAD">
        <w:rPr>
          <w:szCs w:val="24"/>
        </w:rPr>
        <w:t>rogram-Level Assessment Results</w:t>
      </w:r>
      <w:bookmarkEnd w:id="5"/>
      <w:r w:rsidR="00FC6DF1" w:rsidRPr="00332CAD">
        <w:rPr>
          <w:szCs w:val="24"/>
        </w:rPr>
        <w:t xml:space="preserve"> </w:t>
      </w:r>
    </w:p>
    <w:p w14:paraId="552543B9" w14:textId="77777777" w:rsidR="00604872" w:rsidRDefault="00604872" w:rsidP="004F65CC">
      <w:pPr>
        <w:rPr>
          <w:rFonts w:cs="Times New Roman"/>
          <w:i/>
        </w:rPr>
      </w:pPr>
    </w:p>
    <w:p w14:paraId="3CA3AB67" w14:textId="00B1E150" w:rsidR="004D0C86" w:rsidRPr="004D0C86" w:rsidRDefault="004D0C86" w:rsidP="004F65CC">
      <w:pPr>
        <w:rPr>
          <w:rFonts w:cs="Times New Roman"/>
          <w:i/>
        </w:rPr>
      </w:pPr>
      <w:r w:rsidRPr="007F06CC">
        <w:rPr>
          <w:rFonts w:cs="Times New Roman"/>
          <w:b/>
          <w:i/>
        </w:rPr>
        <w:t>Finding 3</w:t>
      </w:r>
      <w:r w:rsidRPr="004D0C86">
        <w:rPr>
          <w:rFonts w:cs="Times New Roman"/>
          <w:i/>
        </w:rPr>
        <w:t xml:space="preserve">: Most LCC Programs of Study report program-level learning outcomes for associate-level awards. </w:t>
      </w:r>
    </w:p>
    <w:p w14:paraId="663F3253" w14:textId="0BF61FDA" w:rsidR="0014426C" w:rsidRDefault="003D5F8A" w:rsidP="004F65CC">
      <w:pPr>
        <w:rPr>
          <w:rFonts w:cs="Times New Roman"/>
        </w:rPr>
      </w:pPr>
      <w:r w:rsidRPr="003D5F8A">
        <w:rPr>
          <w:rFonts w:cs="Times New Roman"/>
        </w:rPr>
        <w:t xml:space="preserve">Program-level learning outcomes define what we expect students to achieve in the Program of Study. In the Fall 2015 semester, </w:t>
      </w:r>
      <w:r w:rsidR="00051A36" w:rsidRPr="004D009E">
        <w:rPr>
          <w:rFonts w:cs="Times New Roman"/>
          <w:b/>
        </w:rPr>
        <w:t>86</w:t>
      </w:r>
      <w:r w:rsidR="0014426C" w:rsidRPr="004D009E">
        <w:rPr>
          <w:rFonts w:cs="Times New Roman"/>
          <w:b/>
        </w:rPr>
        <w:t>%</w:t>
      </w:r>
      <w:r w:rsidR="0014426C" w:rsidRPr="00761C40">
        <w:rPr>
          <w:rFonts w:cs="Times New Roman"/>
        </w:rPr>
        <w:t xml:space="preserve"> of all LCC Programs of Study </w:t>
      </w:r>
      <w:r w:rsidR="00AD050D">
        <w:rPr>
          <w:rFonts w:cs="Times New Roman"/>
        </w:rPr>
        <w:t>reported</w:t>
      </w:r>
      <w:r w:rsidR="0014426C" w:rsidRPr="00761C40">
        <w:rPr>
          <w:rFonts w:cs="Times New Roman"/>
        </w:rPr>
        <w:t xml:space="preserve"> </w:t>
      </w:r>
      <w:r w:rsidR="00CD6AB4">
        <w:rPr>
          <w:rFonts w:cs="Times New Roman"/>
        </w:rPr>
        <w:t>program-level</w:t>
      </w:r>
      <w:r>
        <w:rPr>
          <w:rFonts w:cs="Times New Roman"/>
        </w:rPr>
        <w:t xml:space="preserve"> learning outcomes that defined what LCC students can be expected to know</w:t>
      </w:r>
      <w:r w:rsidR="004D009E">
        <w:rPr>
          <w:rFonts w:cs="Times New Roman"/>
        </w:rPr>
        <w:t xml:space="preserve"> or do when they complete the</w:t>
      </w:r>
      <w:r>
        <w:rPr>
          <w:rFonts w:cs="Times New Roman"/>
        </w:rPr>
        <w:t xml:space="preserve"> Program of Study</w:t>
      </w:r>
      <w:r w:rsidR="00AD050D">
        <w:rPr>
          <w:rFonts w:cs="Times New Roman"/>
        </w:rPr>
        <w:t>.</w:t>
      </w:r>
      <w:r w:rsidR="008A4150">
        <w:rPr>
          <w:rFonts w:cs="Times New Roman"/>
        </w:rPr>
        <w:t xml:space="preserve"> </w:t>
      </w:r>
      <w:r w:rsidR="008A4150">
        <w:t>Our result is above a benchmark of</w:t>
      </w:r>
      <w:r w:rsidR="008A4150" w:rsidRPr="00E243A9">
        <w:rPr>
          <w:rFonts w:cs="Times New Roman"/>
        </w:rPr>
        <w:t xml:space="preserve"> 85% of AAC&amp;U member institutions </w:t>
      </w:r>
      <w:r w:rsidR="008A4150">
        <w:rPr>
          <w:rFonts w:cs="Times New Roman"/>
        </w:rPr>
        <w:t xml:space="preserve">that report program-level learning outcomes. </w:t>
      </w:r>
    </w:p>
    <w:p w14:paraId="3934F119" w14:textId="25C23553" w:rsidR="00B35026" w:rsidRDefault="00B35026" w:rsidP="004F65CC">
      <w:pPr>
        <w:rPr>
          <w:rFonts w:cs="Times New Roman"/>
        </w:rPr>
      </w:pPr>
      <w:r>
        <w:rPr>
          <w:rFonts w:cs="Times New Roman"/>
        </w:rPr>
        <w:t xml:space="preserve">Results reflect </w:t>
      </w:r>
      <w:r w:rsidRPr="00761C40">
        <w:rPr>
          <w:rFonts w:cs="Times New Roman"/>
        </w:rPr>
        <w:t xml:space="preserve">the number of </w:t>
      </w:r>
      <w:r>
        <w:rPr>
          <w:rFonts w:cs="Times New Roman"/>
        </w:rPr>
        <w:t>Programs of Study that offer</w:t>
      </w:r>
      <w:r w:rsidRPr="00761C40">
        <w:rPr>
          <w:rFonts w:cs="Times New Roman"/>
        </w:rPr>
        <w:t xml:space="preserve"> a</w:t>
      </w:r>
      <w:r>
        <w:rPr>
          <w:rFonts w:cs="Times New Roman"/>
        </w:rPr>
        <w:t xml:space="preserve">ssociate-level awards divided by the number of Programs of Study reporting program-level student learning outcomes. </w:t>
      </w:r>
    </w:p>
    <w:tbl>
      <w:tblPr>
        <w:tblStyle w:val="TableGrid"/>
        <w:tblW w:w="0" w:type="auto"/>
        <w:tblInd w:w="108" w:type="dxa"/>
        <w:tblLook w:val="04A0" w:firstRow="1" w:lastRow="0" w:firstColumn="1" w:lastColumn="0" w:noHBand="0" w:noVBand="1"/>
      </w:tblPr>
      <w:tblGrid>
        <w:gridCol w:w="2880"/>
        <w:gridCol w:w="1620"/>
        <w:gridCol w:w="2880"/>
        <w:gridCol w:w="2430"/>
      </w:tblGrid>
      <w:tr w:rsidR="003D29D2" w:rsidRPr="00E243A9" w14:paraId="76AD3881" w14:textId="77777777" w:rsidTr="007223DC">
        <w:tc>
          <w:tcPr>
            <w:tcW w:w="2880" w:type="dxa"/>
            <w:shd w:val="clear" w:color="auto" w:fill="F3F3F3"/>
          </w:tcPr>
          <w:p w14:paraId="5531104A" w14:textId="77777777" w:rsidR="003D29D2" w:rsidRPr="00E243A9" w:rsidRDefault="003D29D2" w:rsidP="00B676B9">
            <w:pPr>
              <w:jc w:val="center"/>
              <w:rPr>
                <w:rFonts w:cs="Times New Roman"/>
                <w:b/>
              </w:rPr>
            </w:pPr>
          </w:p>
          <w:p w14:paraId="564AC79D" w14:textId="77777777" w:rsidR="003D29D2" w:rsidRDefault="003D29D2" w:rsidP="00B676B9">
            <w:pPr>
              <w:jc w:val="center"/>
              <w:rPr>
                <w:rFonts w:cs="Times New Roman"/>
                <w:b/>
              </w:rPr>
            </w:pPr>
            <w:r w:rsidRPr="00E243A9">
              <w:rPr>
                <w:rFonts w:cs="Times New Roman"/>
                <w:b/>
              </w:rPr>
              <w:t>DIVISION</w:t>
            </w:r>
          </w:p>
          <w:p w14:paraId="0DD8BEFC" w14:textId="77777777" w:rsidR="003D29D2" w:rsidRPr="00E243A9" w:rsidRDefault="003D29D2" w:rsidP="00B676B9">
            <w:pPr>
              <w:jc w:val="center"/>
              <w:rPr>
                <w:rFonts w:cs="Times New Roman"/>
                <w:b/>
              </w:rPr>
            </w:pPr>
          </w:p>
        </w:tc>
        <w:tc>
          <w:tcPr>
            <w:tcW w:w="1620" w:type="dxa"/>
            <w:shd w:val="clear" w:color="auto" w:fill="F3F3F3"/>
          </w:tcPr>
          <w:p w14:paraId="2BC1860B" w14:textId="77777777" w:rsidR="00260A3C" w:rsidRDefault="00260A3C" w:rsidP="00260A3C">
            <w:pPr>
              <w:jc w:val="center"/>
              <w:rPr>
                <w:rFonts w:cs="Times New Roman"/>
                <w:b/>
              </w:rPr>
            </w:pPr>
            <w:r>
              <w:rPr>
                <w:rFonts w:cs="Times New Roman"/>
                <w:b/>
              </w:rPr>
              <w:t>AAC&amp;U Member Institutions</w:t>
            </w:r>
          </w:p>
          <w:p w14:paraId="201B59DF" w14:textId="2CE6C287" w:rsidR="003D29D2" w:rsidRPr="00E243A9" w:rsidRDefault="003D29D2" w:rsidP="00B676B9">
            <w:pPr>
              <w:jc w:val="center"/>
              <w:rPr>
                <w:rFonts w:cs="Times New Roman"/>
                <w:b/>
              </w:rPr>
            </w:pPr>
          </w:p>
        </w:tc>
        <w:tc>
          <w:tcPr>
            <w:tcW w:w="2880" w:type="dxa"/>
            <w:tcBorders>
              <w:bottom w:val="single" w:sz="4" w:space="0" w:color="auto"/>
            </w:tcBorders>
            <w:shd w:val="clear" w:color="auto" w:fill="F3F3F3"/>
          </w:tcPr>
          <w:p w14:paraId="54537AAE" w14:textId="06EE907D" w:rsidR="003D29D2" w:rsidRPr="00E243A9" w:rsidRDefault="003D29D2" w:rsidP="003D29D2">
            <w:pPr>
              <w:jc w:val="center"/>
              <w:rPr>
                <w:rFonts w:cs="Times New Roman"/>
                <w:b/>
              </w:rPr>
            </w:pPr>
            <w:r w:rsidRPr="00E243A9">
              <w:rPr>
                <w:rFonts w:cs="Times New Roman"/>
                <w:b/>
              </w:rPr>
              <w:t xml:space="preserve">Programs of Study Reporting </w:t>
            </w:r>
            <w:r>
              <w:rPr>
                <w:rFonts w:cs="Times New Roman"/>
                <w:b/>
              </w:rPr>
              <w:t>Learning Outcomes</w:t>
            </w:r>
          </w:p>
        </w:tc>
        <w:tc>
          <w:tcPr>
            <w:tcW w:w="2430" w:type="dxa"/>
            <w:tcBorders>
              <w:bottom w:val="single" w:sz="4" w:space="0" w:color="auto"/>
            </w:tcBorders>
            <w:shd w:val="clear" w:color="auto" w:fill="D9D9D9"/>
          </w:tcPr>
          <w:p w14:paraId="219647AB" w14:textId="77777777" w:rsidR="003D29D2" w:rsidRPr="00E243A9" w:rsidRDefault="003D29D2" w:rsidP="00B676B9">
            <w:pPr>
              <w:jc w:val="center"/>
              <w:rPr>
                <w:rFonts w:cs="Times New Roman"/>
                <w:b/>
              </w:rPr>
            </w:pPr>
          </w:p>
          <w:p w14:paraId="1D483886" w14:textId="77777777" w:rsidR="003D29D2" w:rsidRPr="00E243A9" w:rsidRDefault="003D29D2" w:rsidP="00B676B9">
            <w:pPr>
              <w:jc w:val="center"/>
              <w:rPr>
                <w:rFonts w:cs="Times New Roman"/>
                <w:b/>
              </w:rPr>
            </w:pPr>
            <w:r w:rsidRPr="00E243A9">
              <w:rPr>
                <w:rFonts w:cs="Times New Roman"/>
                <w:b/>
              </w:rPr>
              <w:t>LCC Total</w:t>
            </w:r>
          </w:p>
        </w:tc>
      </w:tr>
      <w:tr w:rsidR="003D29D2" w:rsidRPr="00E243A9" w14:paraId="3B43DF24" w14:textId="77777777" w:rsidTr="00B676B9">
        <w:tc>
          <w:tcPr>
            <w:tcW w:w="2880" w:type="dxa"/>
          </w:tcPr>
          <w:p w14:paraId="6E5DA62B" w14:textId="77777777" w:rsidR="003D29D2" w:rsidRDefault="003D29D2" w:rsidP="00B676B9">
            <w:pPr>
              <w:rPr>
                <w:rFonts w:cs="Times New Roman"/>
              </w:rPr>
            </w:pPr>
          </w:p>
          <w:p w14:paraId="19BCC2D3" w14:textId="77777777" w:rsidR="003D29D2" w:rsidRDefault="003D29D2" w:rsidP="00B676B9">
            <w:pPr>
              <w:rPr>
                <w:rFonts w:cs="Times New Roman"/>
              </w:rPr>
            </w:pPr>
            <w:r w:rsidRPr="00E243A9">
              <w:rPr>
                <w:rFonts w:cs="Times New Roman"/>
              </w:rPr>
              <w:t xml:space="preserve">Arts &amp; Sciences </w:t>
            </w:r>
          </w:p>
          <w:p w14:paraId="798ACE39" w14:textId="77777777" w:rsidR="003D29D2" w:rsidRPr="00E243A9" w:rsidRDefault="003D29D2" w:rsidP="00B676B9">
            <w:pPr>
              <w:rPr>
                <w:rFonts w:cs="Times New Roman"/>
              </w:rPr>
            </w:pPr>
          </w:p>
        </w:tc>
        <w:tc>
          <w:tcPr>
            <w:tcW w:w="1620" w:type="dxa"/>
          </w:tcPr>
          <w:p w14:paraId="5D165C0A" w14:textId="77777777" w:rsidR="003D29D2" w:rsidRDefault="003D29D2" w:rsidP="00B676B9">
            <w:pPr>
              <w:jc w:val="center"/>
              <w:rPr>
                <w:rFonts w:cs="Times New Roman"/>
              </w:rPr>
            </w:pPr>
          </w:p>
          <w:p w14:paraId="3DD5C4DF" w14:textId="77777777" w:rsidR="003D29D2" w:rsidRPr="00EF7C3F" w:rsidRDefault="003D29D2" w:rsidP="00B676B9">
            <w:pPr>
              <w:jc w:val="center"/>
              <w:rPr>
                <w:rFonts w:cs="Times New Roman"/>
              </w:rPr>
            </w:pPr>
            <m:oMath>
              <m:r>
                <w:rPr>
                  <w:rFonts w:ascii="Cambria Math" w:hAnsi="Cambria Math" w:cs="Times New Roman"/>
                </w:rPr>
                <m:t>≥</m:t>
              </m:r>
            </m:oMath>
            <w:r>
              <w:rPr>
                <w:rFonts w:cs="Times New Roman"/>
              </w:rPr>
              <w:t xml:space="preserve"> </w:t>
            </w:r>
            <w:r w:rsidRPr="00E243A9">
              <w:rPr>
                <w:rFonts w:cs="Times New Roman"/>
              </w:rPr>
              <w:t>85%</w:t>
            </w:r>
          </w:p>
        </w:tc>
        <w:tc>
          <w:tcPr>
            <w:tcW w:w="2880" w:type="dxa"/>
            <w:tcBorders>
              <w:bottom w:val="single" w:sz="4" w:space="0" w:color="auto"/>
            </w:tcBorders>
            <w:shd w:val="clear" w:color="auto" w:fill="FFFF99"/>
          </w:tcPr>
          <w:p w14:paraId="4CEE85AA" w14:textId="77777777" w:rsidR="003D29D2" w:rsidRDefault="003D29D2" w:rsidP="00B676B9">
            <w:pPr>
              <w:jc w:val="center"/>
              <w:rPr>
                <w:rFonts w:cs="Times New Roman"/>
              </w:rPr>
            </w:pPr>
          </w:p>
          <w:p w14:paraId="758A9EC0" w14:textId="0ABDA49C" w:rsidR="003D29D2" w:rsidRPr="00E243A9" w:rsidRDefault="00051A36" w:rsidP="00B676B9">
            <w:pPr>
              <w:jc w:val="center"/>
              <w:rPr>
                <w:rFonts w:cs="Times New Roman"/>
              </w:rPr>
            </w:pPr>
            <w:r>
              <w:rPr>
                <w:rFonts w:cs="Times New Roman"/>
              </w:rPr>
              <w:t>77</w:t>
            </w:r>
            <w:r w:rsidR="003D29D2">
              <w:rPr>
                <w:rFonts w:cs="Times New Roman"/>
              </w:rPr>
              <w:t xml:space="preserve">% </w:t>
            </w:r>
            <w:r>
              <w:rPr>
                <w:rFonts w:cs="Times New Roman"/>
              </w:rPr>
              <w:t>(51/66)</w:t>
            </w:r>
          </w:p>
        </w:tc>
        <w:tc>
          <w:tcPr>
            <w:tcW w:w="2430" w:type="dxa"/>
            <w:vMerge w:val="restart"/>
            <w:shd w:val="clear" w:color="auto" w:fill="99CC00"/>
          </w:tcPr>
          <w:p w14:paraId="61F91D57" w14:textId="77777777" w:rsidR="003D29D2" w:rsidRPr="00E243A9" w:rsidRDefault="003D29D2" w:rsidP="00B676B9">
            <w:pPr>
              <w:rPr>
                <w:rFonts w:cs="Times New Roman"/>
                <w:b/>
              </w:rPr>
            </w:pPr>
          </w:p>
          <w:p w14:paraId="2CE77A88" w14:textId="77777777" w:rsidR="003D29D2" w:rsidRDefault="003D29D2" w:rsidP="00B676B9">
            <w:pPr>
              <w:tabs>
                <w:tab w:val="left" w:pos="220"/>
                <w:tab w:val="center" w:pos="1161"/>
              </w:tabs>
              <w:rPr>
                <w:rFonts w:cs="Times New Roman"/>
                <w:b/>
              </w:rPr>
            </w:pPr>
            <w:r w:rsidRPr="00E243A9">
              <w:rPr>
                <w:rFonts w:cs="Times New Roman"/>
                <w:b/>
              </w:rPr>
              <w:tab/>
            </w:r>
            <w:r w:rsidRPr="00E243A9">
              <w:rPr>
                <w:rFonts w:cs="Times New Roman"/>
                <w:b/>
              </w:rPr>
              <w:tab/>
            </w:r>
          </w:p>
          <w:p w14:paraId="47548AC6" w14:textId="77777777" w:rsidR="003D29D2" w:rsidRDefault="003D29D2" w:rsidP="00B676B9">
            <w:pPr>
              <w:tabs>
                <w:tab w:val="left" w:pos="220"/>
                <w:tab w:val="center" w:pos="1161"/>
              </w:tabs>
              <w:rPr>
                <w:rFonts w:cs="Times New Roman"/>
                <w:b/>
              </w:rPr>
            </w:pPr>
          </w:p>
          <w:p w14:paraId="115C9FD4" w14:textId="77777777" w:rsidR="003D29D2" w:rsidRDefault="003D29D2" w:rsidP="00B676B9">
            <w:pPr>
              <w:tabs>
                <w:tab w:val="left" w:pos="220"/>
                <w:tab w:val="center" w:pos="1161"/>
              </w:tabs>
              <w:rPr>
                <w:rFonts w:cs="Times New Roman"/>
                <w:b/>
              </w:rPr>
            </w:pPr>
          </w:p>
          <w:p w14:paraId="296C4FF3" w14:textId="30717C87" w:rsidR="003D29D2" w:rsidRPr="00E243A9" w:rsidRDefault="00051A36" w:rsidP="00B676B9">
            <w:pPr>
              <w:tabs>
                <w:tab w:val="left" w:pos="220"/>
                <w:tab w:val="center" w:pos="1161"/>
              </w:tabs>
              <w:jc w:val="center"/>
              <w:rPr>
                <w:rFonts w:cs="Times New Roman"/>
              </w:rPr>
            </w:pPr>
            <w:r>
              <w:rPr>
                <w:rFonts w:cs="Times New Roman"/>
                <w:b/>
              </w:rPr>
              <w:t>86</w:t>
            </w:r>
            <w:r w:rsidR="003D29D2" w:rsidRPr="00E243A9">
              <w:rPr>
                <w:rFonts w:cs="Times New Roman"/>
                <w:b/>
              </w:rPr>
              <w:t>%</w:t>
            </w:r>
            <w:r w:rsidR="003D29D2">
              <w:rPr>
                <w:rFonts w:cs="Times New Roman"/>
              </w:rPr>
              <w:t xml:space="preserve"> </w:t>
            </w:r>
            <w:r>
              <w:rPr>
                <w:rFonts w:cs="Times New Roman"/>
              </w:rPr>
              <w:t>(91/106)</w:t>
            </w:r>
          </w:p>
        </w:tc>
      </w:tr>
      <w:tr w:rsidR="003D29D2" w:rsidRPr="00E243A9" w14:paraId="49123631" w14:textId="77777777" w:rsidTr="00B676B9">
        <w:tc>
          <w:tcPr>
            <w:tcW w:w="2880" w:type="dxa"/>
          </w:tcPr>
          <w:p w14:paraId="35D434F5" w14:textId="77777777" w:rsidR="003D29D2" w:rsidRDefault="003D29D2" w:rsidP="00B676B9">
            <w:pPr>
              <w:rPr>
                <w:rFonts w:cs="Times New Roman"/>
              </w:rPr>
            </w:pPr>
          </w:p>
          <w:p w14:paraId="29005C6B" w14:textId="77777777" w:rsidR="003D29D2" w:rsidRDefault="003D29D2" w:rsidP="00B676B9">
            <w:pPr>
              <w:rPr>
                <w:rFonts w:cs="Times New Roman"/>
              </w:rPr>
            </w:pPr>
            <w:r w:rsidRPr="00E243A9">
              <w:rPr>
                <w:rFonts w:cs="Times New Roman"/>
              </w:rPr>
              <w:t>Technical Careers</w:t>
            </w:r>
          </w:p>
          <w:p w14:paraId="0DE63E4E" w14:textId="77777777" w:rsidR="003D29D2" w:rsidRPr="00E243A9" w:rsidRDefault="003D29D2" w:rsidP="00B676B9">
            <w:pPr>
              <w:rPr>
                <w:rFonts w:cs="Times New Roman"/>
              </w:rPr>
            </w:pPr>
          </w:p>
        </w:tc>
        <w:tc>
          <w:tcPr>
            <w:tcW w:w="1620" w:type="dxa"/>
          </w:tcPr>
          <w:p w14:paraId="54F0EA1C" w14:textId="77777777" w:rsidR="003D29D2" w:rsidRDefault="003D29D2" w:rsidP="00B676B9">
            <w:pPr>
              <w:jc w:val="center"/>
              <w:rPr>
                <w:rFonts w:cs="Times New Roman"/>
              </w:rPr>
            </w:pPr>
          </w:p>
          <w:p w14:paraId="395221B8" w14:textId="77777777" w:rsidR="003D29D2" w:rsidRPr="00E243A9" w:rsidRDefault="003D29D2" w:rsidP="00B676B9">
            <w:pPr>
              <w:jc w:val="center"/>
              <w:rPr>
                <w:rFonts w:cs="Times New Roman"/>
              </w:rPr>
            </w:pPr>
            <m:oMath>
              <m:r>
                <w:rPr>
                  <w:rFonts w:ascii="Cambria Math" w:hAnsi="Cambria Math" w:cs="Times New Roman"/>
                </w:rPr>
                <m:t>≥</m:t>
              </m:r>
            </m:oMath>
            <w:r>
              <w:rPr>
                <w:rFonts w:cs="Times New Roman"/>
              </w:rPr>
              <w:t xml:space="preserve"> </w:t>
            </w:r>
            <w:r w:rsidRPr="00E243A9">
              <w:rPr>
                <w:rFonts w:cs="Times New Roman"/>
              </w:rPr>
              <w:t>85%</w:t>
            </w:r>
          </w:p>
        </w:tc>
        <w:tc>
          <w:tcPr>
            <w:tcW w:w="2880" w:type="dxa"/>
            <w:shd w:val="clear" w:color="auto" w:fill="99CC00"/>
          </w:tcPr>
          <w:p w14:paraId="1EE458C0" w14:textId="77777777" w:rsidR="003D29D2" w:rsidRDefault="003D29D2" w:rsidP="00B676B9">
            <w:pPr>
              <w:jc w:val="center"/>
              <w:rPr>
                <w:rFonts w:cs="Times New Roman"/>
              </w:rPr>
            </w:pPr>
          </w:p>
          <w:p w14:paraId="392D8D79" w14:textId="2860A7DA" w:rsidR="003D29D2" w:rsidRPr="00E243A9" w:rsidRDefault="003D29D2" w:rsidP="00B676B9">
            <w:pPr>
              <w:jc w:val="center"/>
              <w:rPr>
                <w:rFonts w:cs="Times New Roman"/>
              </w:rPr>
            </w:pPr>
            <w:r>
              <w:rPr>
                <w:rFonts w:cs="Times New Roman"/>
              </w:rPr>
              <w:t>100%</w:t>
            </w:r>
            <w:r w:rsidR="00051A36">
              <w:rPr>
                <w:rFonts w:cs="Times New Roman"/>
              </w:rPr>
              <w:t xml:space="preserve"> (32/32)</w:t>
            </w:r>
          </w:p>
        </w:tc>
        <w:tc>
          <w:tcPr>
            <w:tcW w:w="2430" w:type="dxa"/>
            <w:vMerge/>
            <w:shd w:val="clear" w:color="auto" w:fill="99CC00"/>
          </w:tcPr>
          <w:p w14:paraId="23993EFD" w14:textId="77777777" w:rsidR="003D29D2" w:rsidRPr="00E243A9" w:rsidRDefault="003D29D2" w:rsidP="00B676B9">
            <w:pPr>
              <w:rPr>
                <w:rFonts w:cs="Times New Roman"/>
              </w:rPr>
            </w:pPr>
          </w:p>
        </w:tc>
      </w:tr>
      <w:tr w:rsidR="003D29D2" w:rsidRPr="00E243A9" w14:paraId="78023686" w14:textId="77777777" w:rsidTr="00B676B9">
        <w:tc>
          <w:tcPr>
            <w:tcW w:w="2880" w:type="dxa"/>
          </w:tcPr>
          <w:p w14:paraId="5AB5DE2D" w14:textId="77777777" w:rsidR="003D29D2" w:rsidRDefault="003D29D2" w:rsidP="00B676B9">
            <w:pPr>
              <w:rPr>
                <w:rFonts w:cs="Times New Roman"/>
              </w:rPr>
            </w:pPr>
          </w:p>
          <w:p w14:paraId="0E193F2A" w14:textId="77777777" w:rsidR="003D29D2" w:rsidRDefault="003D29D2" w:rsidP="00B676B9">
            <w:pPr>
              <w:rPr>
                <w:rFonts w:cs="Times New Roman"/>
              </w:rPr>
            </w:pPr>
            <w:r w:rsidRPr="00E243A9">
              <w:rPr>
                <w:rFonts w:cs="Times New Roman"/>
              </w:rPr>
              <w:t>Health &amp; Human Services</w:t>
            </w:r>
          </w:p>
          <w:p w14:paraId="7998E76D" w14:textId="77777777" w:rsidR="003D29D2" w:rsidRPr="00E243A9" w:rsidRDefault="003D29D2" w:rsidP="00B676B9">
            <w:pPr>
              <w:rPr>
                <w:rFonts w:cs="Times New Roman"/>
              </w:rPr>
            </w:pPr>
          </w:p>
        </w:tc>
        <w:tc>
          <w:tcPr>
            <w:tcW w:w="1620" w:type="dxa"/>
          </w:tcPr>
          <w:p w14:paraId="79F33123" w14:textId="77777777" w:rsidR="003D29D2" w:rsidRPr="00EF7C3F" w:rsidRDefault="003D29D2" w:rsidP="00B676B9">
            <w:pPr>
              <w:jc w:val="center"/>
              <w:rPr>
                <w:rFonts w:cs="Times New Roman"/>
              </w:rPr>
            </w:pPr>
          </w:p>
          <w:p w14:paraId="01B10554" w14:textId="77777777" w:rsidR="003D29D2" w:rsidRPr="00EF7C3F" w:rsidRDefault="003D29D2" w:rsidP="00B676B9">
            <w:pPr>
              <w:jc w:val="center"/>
              <w:rPr>
                <w:rFonts w:cs="Times New Roman"/>
              </w:rPr>
            </w:pPr>
            <m:oMath>
              <m:r>
                <w:rPr>
                  <w:rFonts w:ascii="Cambria Math" w:hAnsi="Cambria Math" w:cs="Times New Roman"/>
                </w:rPr>
                <m:t>≥</m:t>
              </m:r>
            </m:oMath>
            <w:r>
              <w:rPr>
                <w:rFonts w:cs="Times New Roman"/>
              </w:rPr>
              <w:t xml:space="preserve"> </w:t>
            </w:r>
            <w:r w:rsidRPr="00E243A9">
              <w:rPr>
                <w:rFonts w:cs="Times New Roman"/>
              </w:rPr>
              <w:t>85%</w:t>
            </w:r>
          </w:p>
        </w:tc>
        <w:tc>
          <w:tcPr>
            <w:tcW w:w="2880" w:type="dxa"/>
            <w:shd w:val="clear" w:color="auto" w:fill="99CC00"/>
          </w:tcPr>
          <w:p w14:paraId="7F26137F" w14:textId="77777777" w:rsidR="003D29D2" w:rsidRDefault="003D29D2" w:rsidP="00B676B9">
            <w:pPr>
              <w:jc w:val="center"/>
              <w:rPr>
                <w:rFonts w:cs="Times New Roman"/>
              </w:rPr>
            </w:pPr>
          </w:p>
          <w:p w14:paraId="72C6E0E1" w14:textId="1F140BFF" w:rsidR="003D29D2" w:rsidRPr="00E243A9" w:rsidRDefault="003D29D2" w:rsidP="00B676B9">
            <w:pPr>
              <w:jc w:val="center"/>
              <w:rPr>
                <w:rFonts w:cs="Times New Roman"/>
              </w:rPr>
            </w:pPr>
            <w:r>
              <w:rPr>
                <w:rFonts w:cs="Times New Roman"/>
              </w:rPr>
              <w:t>100%</w:t>
            </w:r>
            <w:r w:rsidR="00051A36">
              <w:rPr>
                <w:rFonts w:cs="Times New Roman"/>
              </w:rPr>
              <w:t xml:space="preserve"> (8/8)</w:t>
            </w:r>
          </w:p>
        </w:tc>
        <w:tc>
          <w:tcPr>
            <w:tcW w:w="2430" w:type="dxa"/>
            <w:vMerge/>
            <w:shd w:val="clear" w:color="auto" w:fill="99CC00"/>
          </w:tcPr>
          <w:p w14:paraId="52ADFE50" w14:textId="77777777" w:rsidR="003D29D2" w:rsidRPr="00E243A9" w:rsidRDefault="003D29D2" w:rsidP="00B676B9">
            <w:pPr>
              <w:rPr>
                <w:rFonts w:cs="Times New Roman"/>
              </w:rPr>
            </w:pPr>
          </w:p>
        </w:tc>
      </w:tr>
    </w:tbl>
    <w:p w14:paraId="27AA8EB2" w14:textId="77777777" w:rsidR="003D29D2" w:rsidRPr="00761C40" w:rsidRDefault="003D29D2" w:rsidP="004F65CC">
      <w:pPr>
        <w:rPr>
          <w:rFonts w:cs="Times New Roman"/>
        </w:rPr>
      </w:pPr>
    </w:p>
    <w:p w14:paraId="7EE217A0" w14:textId="036E4AB7" w:rsidR="003D29D2" w:rsidRPr="00761C40" w:rsidRDefault="003D29D2" w:rsidP="00A34901">
      <w:pPr>
        <w:rPr>
          <w:rFonts w:cs="Times New Roman"/>
        </w:rPr>
      </w:pPr>
    </w:p>
    <w:p w14:paraId="705863FC" w14:textId="77777777" w:rsidR="00051A36" w:rsidRDefault="00051A36" w:rsidP="00A34901"/>
    <w:p w14:paraId="118B9C58" w14:textId="77777777" w:rsidR="007223DC" w:rsidRDefault="007223DC" w:rsidP="00A34901"/>
    <w:p w14:paraId="7BC81418" w14:textId="77777777" w:rsidR="00B35026" w:rsidRDefault="00B35026" w:rsidP="00A34901"/>
    <w:p w14:paraId="45B7E071" w14:textId="77777777" w:rsidR="00B35026" w:rsidRDefault="00B35026" w:rsidP="00A34901"/>
    <w:p w14:paraId="3A2A357A" w14:textId="77777777" w:rsidR="00B35026" w:rsidRDefault="00B35026" w:rsidP="00A34901"/>
    <w:p w14:paraId="128F8FCC" w14:textId="21CAF2A8" w:rsidR="001F4429" w:rsidRDefault="004D0C86" w:rsidP="004D0C86">
      <w:pPr>
        <w:rPr>
          <w:rFonts w:cs="Times New Roman"/>
          <w:i/>
        </w:rPr>
      </w:pPr>
      <w:r w:rsidRPr="00CB6FDD">
        <w:rPr>
          <w:rFonts w:cs="Times New Roman"/>
          <w:b/>
          <w:i/>
        </w:rPr>
        <w:lastRenderedPageBreak/>
        <w:t xml:space="preserve">Finding </w:t>
      </w:r>
      <w:r w:rsidR="001F4429" w:rsidRPr="00CB6FDD">
        <w:rPr>
          <w:rFonts w:cs="Times New Roman"/>
          <w:b/>
          <w:i/>
        </w:rPr>
        <w:t>4</w:t>
      </w:r>
      <w:r w:rsidRPr="004D0C86">
        <w:rPr>
          <w:rFonts w:cs="Times New Roman"/>
          <w:i/>
        </w:rPr>
        <w:t>:</w:t>
      </w:r>
      <w:r w:rsidR="00DB16B7">
        <w:rPr>
          <w:rFonts w:cs="Times New Roman"/>
          <w:i/>
        </w:rPr>
        <w:t xml:space="preserve"> </w:t>
      </w:r>
      <w:r w:rsidR="00E4147D">
        <w:rPr>
          <w:rFonts w:cs="Times New Roman"/>
          <w:i/>
        </w:rPr>
        <w:t xml:space="preserve">About half of </w:t>
      </w:r>
      <w:r w:rsidR="0061564A">
        <w:rPr>
          <w:rFonts w:cs="Times New Roman"/>
          <w:i/>
        </w:rPr>
        <w:t xml:space="preserve">A&amp;S and HHS </w:t>
      </w:r>
      <w:r w:rsidR="00E4147D">
        <w:rPr>
          <w:rFonts w:cs="Times New Roman"/>
          <w:i/>
        </w:rPr>
        <w:t>Program</w:t>
      </w:r>
      <w:r w:rsidR="002C0CA8">
        <w:rPr>
          <w:rFonts w:cs="Times New Roman"/>
          <w:i/>
        </w:rPr>
        <w:t xml:space="preserve"> of Study learning outcomes require students to use </w:t>
      </w:r>
      <w:r w:rsidR="00614C31">
        <w:rPr>
          <w:rFonts w:cs="Times New Roman"/>
          <w:i/>
        </w:rPr>
        <w:t>moderate</w:t>
      </w:r>
      <w:r w:rsidR="002C0CA8">
        <w:rPr>
          <w:rFonts w:cs="Times New Roman"/>
          <w:i/>
        </w:rPr>
        <w:t>-level cognitive skill</w:t>
      </w:r>
      <w:r w:rsidR="008B0BF6">
        <w:rPr>
          <w:rFonts w:cs="Times New Roman"/>
          <w:i/>
        </w:rPr>
        <w:t>s</w:t>
      </w:r>
      <w:r w:rsidR="00614C31">
        <w:rPr>
          <w:rFonts w:cs="Times New Roman"/>
          <w:i/>
        </w:rPr>
        <w:t xml:space="preserve">, with the greatest emphasis on </w:t>
      </w:r>
      <w:r w:rsidR="005F51D3">
        <w:rPr>
          <w:rFonts w:cs="Times New Roman"/>
          <w:i/>
        </w:rPr>
        <w:t>applying or transferring learning from the classroom to other contexts</w:t>
      </w:r>
      <w:r w:rsidR="002C0CA8">
        <w:rPr>
          <w:rFonts w:cs="Times New Roman"/>
          <w:i/>
        </w:rPr>
        <w:t>.</w:t>
      </w:r>
      <w:r w:rsidR="002C0CA8" w:rsidRPr="002C0CA8">
        <w:rPr>
          <w:rFonts w:cs="Times New Roman"/>
          <w:i/>
        </w:rPr>
        <w:t xml:space="preserve"> </w:t>
      </w:r>
    </w:p>
    <w:p w14:paraId="3DB0F86B" w14:textId="275665E3" w:rsidR="00EF7C3F" w:rsidRPr="00FA0F1A" w:rsidRDefault="00EF7C3F" w:rsidP="00EF7C3F">
      <w:pPr>
        <w:pStyle w:val="NoSpacing"/>
        <w:rPr>
          <w:b/>
        </w:rPr>
      </w:pPr>
      <w:r w:rsidRPr="00EF7C3F">
        <w:t xml:space="preserve">Each </w:t>
      </w:r>
      <w:r w:rsidR="00B676B9">
        <w:t xml:space="preserve">reported </w:t>
      </w:r>
      <w:r w:rsidRPr="00EF7C3F">
        <w:t>learning outcome was analyzed t</w:t>
      </w:r>
      <w:r w:rsidR="00B676B9">
        <w:t xml:space="preserve">o demonstrate the learning expectations of LCC students as defined by faculty. </w:t>
      </w:r>
      <w:r w:rsidRPr="00EF7C3F">
        <w:t>Bloom’s Taxonomy was used to classify the level of cognition identified for each outcome</w:t>
      </w:r>
      <w:r>
        <w:t xml:space="preserve">. </w:t>
      </w:r>
    </w:p>
    <w:p w14:paraId="5F2DF36F" w14:textId="4BD5D09F" w:rsidR="005119A7" w:rsidRDefault="00E4147D" w:rsidP="00B97B4B">
      <w:pPr>
        <w:jc w:val="center"/>
        <w:rPr>
          <w:rFonts w:cs="Times New Roman"/>
          <w:i/>
        </w:rPr>
      </w:pPr>
      <w:r w:rsidRPr="00E4147D">
        <w:rPr>
          <w:rFonts w:cs="Times New Roman"/>
          <w:b/>
        </w:rPr>
        <w:t>Cognitive Skills Required of LCC Students</w:t>
      </w:r>
      <w:r>
        <w:rPr>
          <w:noProof/>
        </w:rPr>
        <w:drawing>
          <wp:inline distT="0" distB="0" distL="0" distR="0" wp14:anchorId="3409AD66" wp14:editId="3908CC01">
            <wp:extent cx="5486400" cy="381825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E8CF72" w14:textId="64B1331C" w:rsidR="00E4147D" w:rsidRDefault="00B74272" w:rsidP="00E4147D">
      <w:pPr>
        <w:pStyle w:val="NoSpacing"/>
        <w:ind w:left="720"/>
        <w:rPr>
          <w:rFonts w:cs="Times New Roman"/>
          <w:i/>
        </w:rPr>
      </w:pPr>
      <w:r>
        <w:rPr>
          <w:rFonts w:cs="Times New Roman"/>
          <w:b/>
          <w:noProof/>
        </w:rPr>
        <mc:AlternateContent>
          <mc:Choice Requires="wps">
            <w:drawing>
              <wp:anchor distT="0" distB="0" distL="114300" distR="114300" simplePos="0" relativeHeight="251662336" behindDoc="0" locked="0" layoutInCell="1" allowOverlap="1" wp14:anchorId="7E7B8D63" wp14:editId="68DCB418">
                <wp:simplePos x="0" y="0"/>
                <wp:positionH relativeFrom="column">
                  <wp:posOffset>2400300</wp:posOffset>
                </wp:positionH>
                <wp:positionV relativeFrom="paragraph">
                  <wp:posOffset>35560</wp:posOffset>
                </wp:positionV>
                <wp:extent cx="1600200" cy="4572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600200" cy="457200"/>
                        </a:xfrm>
                        <a:prstGeom prst="rect">
                          <a:avLst/>
                        </a:prstGeom>
                        <a:solidFill>
                          <a:srgbClr val="FFFF0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599B8F" w14:textId="398E6BF7" w:rsidR="009B3159" w:rsidRDefault="009B3159" w:rsidP="00B74272">
                            <w:pPr>
                              <w:jc w:val="center"/>
                            </w:pPr>
                            <w:r>
                              <w:t>Moderate Level Cognition = 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B8D63" id="Text Box 14" o:spid="_x0000_s1027" type="#_x0000_t202" style="position:absolute;left:0;text-align:left;margin-left:189pt;margin-top:2.8pt;width:12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6euwIAANUFAAAOAAAAZHJzL2Uyb0RvYy54bWysVEtv2zAMvg/YfxB0T+0U7suoU7gpMgwo&#10;2mLt0LMiS4kxWdQkJXY29L+Pku0063bpsBwcSvxIkR8fl1ddo8hWWFeDLuj0KKVEaA5VrVcF/fq0&#10;mJxT4jzTFVOgRUF3wtGr2ccPl63JxTGsQVXCEnSiXd6agq69N3mSOL4WDXNHYIRGpQTbMI9Hu0oq&#10;y1r03qjkOE1PkxZsZSxw4Rze3vRKOov+pRTc30vphCeqoBibj18bv8vwTWaXLF9ZZtY1H8Jg/xBF&#10;w2qNj+5d3TDPyMbWf7hqam7BgfRHHJoEpKy5iDlgNtP0TTaPa2ZEzAXJcWZPk/t/bvnd9sGSusLa&#10;ZZRo1mCNnkTnyTV0BK+Qn9a4HGGPBoG+w3vEjvcOL0PanbRN+MeECOqR6d2e3eCNB6PTNMWSUcJR&#10;l52cBRndJ6/Wxjr/SUBDglBQi9WLpLLtrfM9dISExxyoulrUSsWDXS3nypItw0ov8Lf3/htM6QDW&#10;EMx6j/2NiL3SP8NyDBnFgAzBxzr+nGPE5dnJxeS0PJlOsml6PinL9HhysyjTMs0W84vs+mVIaLRP&#10;Anc9R1HyOyWCV6W/CImsR6pi9KHfxT5+xrnQPrKM9ER0QEkM+j2GAz7mEfN7j3HPCFrEl0H7vXFT&#10;a7CxMHFMX8Ouvo0hyx6P1T3IO4i+W3Z9u40ttIRqh51loZ9NZ/iixvLfMucfmMVhxI7BBePv8SMV&#10;tAWFQaJkDfbH3+4DHmcEtZS0ONwFdd83zApK1GeN03MxzbKwDeIhtiIl9lCzPNToTTMH7KoprjLD&#10;o4jG1qtRlBaaZ9xDZXgVVUxzfLugfhTnvl85uMe4KMsIwvk3zN/qR8OD68ByaO6n7plZM0yAx0a6&#10;g3ENsPzNIPTYYKmh3HiQdZySwHPP6sA/7o44Z8OeC8vp8BxRr9t49gsAAP//AwBQSwMEFAAGAAgA&#10;AAAhAM9NuGjbAAAACAEAAA8AAABkcnMvZG93bnJldi54bWxMj8tOwzAQRfdI/IM1SOyoUyriKsSp&#10;UAULdn3wAW48JIZ4HGy3CX/PsILl1R2dObfezH4QF4zJBdKwXBQgkNpgHXUa3o4vd2sQKRuyZgiE&#10;Gr4xwaa5vqpNZcNEe7wccicYQqkyGvqcx0rK1PboTVqEEYm79xC9yRxjJ200E8P9IO+LopTeOOIP&#10;vRlx22P7eTh7DcrZ7W5q9x/Pu9ev6MqlMk4prW9v5qdHEBnn/HcMv/qsDg07ncKZbBKDhpVa85as&#10;4aEEwX25KjifGK5KkE0t/w9ofgAAAP//AwBQSwECLQAUAAYACAAAACEAtoM4kv4AAADhAQAAEwAA&#10;AAAAAAAAAAAAAAAAAAAAW0NvbnRlbnRfVHlwZXNdLnhtbFBLAQItABQABgAIAAAAIQA4/SH/1gAA&#10;AJQBAAALAAAAAAAAAAAAAAAAAC8BAABfcmVscy8ucmVsc1BLAQItABQABgAIAAAAIQC3rl6euwIA&#10;ANUFAAAOAAAAAAAAAAAAAAAAAC4CAABkcnMvZTJvRG9jLnhtbFBLAQItABQABgAIAAAAIQDPTbho&#10;2wAAAAgBAAAPAAAAAAAAAAAAAAAAABUFAABkcnMvZG93bnJldi54bWxQSwUGAAAAAAQABADzAAAA&#10;HQYAAAAA&#10;" fillcolor="yellow" stroked="f">
                <v:textbox>
                  <w:txbxContent>
                    <w:p w14:paraId="2C599B8F" w14:textId="398E6BF7" w:rsidR="009B3159" w:rsidRDefault="009B3159" w:rsidP="00B74272">
                      <w:pPr>
                        <w:jc w:val="center"/>
                      </w:pPr>
                      <w:r>
                        <w:t>Moderate Level Cognition = 53%</w:t>
                      </w:r>
                    </w:p>
                  </w:txbxContent>
                </v:textbox>
                <w10:wrap type="square"/>
              </v:shape>
            </w:pict>
          </mc:Fallback>
        </mc:AlternateContent>
      </w:r>
    </w:p>
    <w:p w14:paraId="5D31E7D8" w14:textId="77777777" w:rsidR="00B74272" w:rsidRDefault="00B74272" w:rsidP="00E4147D">
      <w:pPr>
        <w:pStyle w:val="NoSpacing"/>
        <w:ind w:left="720"/>
        <w:rPr>
          <w:rFonts w:cs="Times New Roman"/>
          <w:i/>
        </w:rPr>
      </w:pPr>
    </w:p>
    <w:p w14:paraId="524054CE" w14:textId="77777777" w:rsidR="00B74272" w:rsidRDefault="00B74272" w:rsidP="00E4147D">
      <w:pPr>
        <w:pStyle w:val="NoSpacing"/>
        <w:ind w:left="720"/>
        <w:rPr>
          <w:rFonts w:cs="Times New Roman"/>
          <w:i/>
        </w:rPr>
      </w:pPr>
    </w:p>
    <w:p w14:paraId="5E982601" w14:textId="6A97C59C" w:rsidR="00B74272" w:rsidRDefault="00B74272" w:rsidP="00E4147D">
      <w:pPr>
        <w:pStyle w:val="NoSpacing"/>
        <w:ind w:left="720"/>
        <w:rPr>
          <w:rFonts w:cs="Times New Roman"/>
          <w:i/>
        </w:rPr>
      </w:pPr>
      <w:r>
        <w:rPr>
          <w:rFonts w:cs="Times New Roman"/>
          <w:i/>
          <w:noProof/>
        </w:rPr>
        <mc:AlternateContent>
          <mc:Choice Requires="wps">
            <w:drawing>
              <wp:anchor distT="0" distB="0" distL="114300" distR="114300" simplePos="0" relativeHeight="251661312" behindDoc="0" locked="0" layoutInCell="1" allowOverlap="1" wp14:anchorId="5B84DBD8" wp14:editId="64779016">
                <wp:simplePos x="0" y="0"/>
                <wp:positionH relativeFrom="column">
                  <wp:posOffset>3200400</wp:posOffset>
                </wp:positionH>
                <wp:positionV relativeFrom="paragraph">
                  <wp:posOffset>27940</wp:posOffset>
                </wp:positionV>
                <wp:extent cx="571500" cy="685800"/>
                <wp:effectExtent l="50800" t="101600" r="12700" b="25400"/>
                <wp:wrapNone/>
                <wp:docPr id="12" name="Curved Connector 12"/>
                <wp:cNvGraphicFramePr/>
                <a:graphic xmlns:a="http://schemas.openxmlformats.org/drawingml/2006/main">
                  <a:graphicData uri="http://schemas.microsoft.com/office/word/2010/wordprocessingShape">
                    <wps:wsp>
                      <wps:cNvCnPr/>
                      <wps:spPr>
                        <a:xfrm flipH="1" flipV="1">
                          <a:off x="0" y="0"/>
                          <a:ext cx="571500" cy="6858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1E5A6A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2" o:spid="_x0000_s1026" type="#_x0000_t38" style="position:absolute;margin-left:252pt;margin-top:2.2pt;width:45pt;height:54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sj3wEAAA0EAAAOAAAAZHJzL2Uyb0RvYy54bWysU02P0zAQvSPxHyzfadKiLlXUdA9dPg4I&#10;Khb27nXGrSV/aexNmn/P2GkDArRIiIs1zsx7M+95sr09W8N6wKi9a/lyUXMGTvpOu2PLv31992rD&#10;WUzCdcJ4By0fIfLb3csX2yE0sPInbzpARiQuNkNo+Sml0FRVlCewIi58AEdJ5dGKRFc8Vh2Kgdit&#10;qVZ1fVMNHruAXkKM9PVuSvJd4VcKZPqsVITETMtptlROLOdjPqvdVjRHFOGk5WUM8Q9TWKEdNZ2p&#10;7kQS7An1b1RWS/TRq7SQ3lZeKS2haCA1y/oXNfcnEaBoIXNimG2K/49WfuoPyHRHb7fizAlLb7R/&#10;wh46tvfOkX8eGaXIpyHEhsr37oCXWwwHzKLPCi1TRocPRMNL9JCjnCOJ7Fz8Hme/4ZyYpI/rN8t1&#10;Ta8iKXWzWW8oJuZqIszggDG9B29ZDlouy2DzXK9LA9F/jGmCXcsz1Lh8JqHNW9exNAYSJhD9cGmR&#10;81WWNIkoURoNTNgvoMgUGnFVepR1hL1B1gtaJCEluLScmag6w5Q2ZgbWfwde6jMUyqrO4Mm6Z7vO&#10;iNLZuzSDrXYe/9Q9na8jq6n+6sCkO1vw6LuxPG+xhnauPMfl/8hL/fO9wH/8xbvvAAAA//8DAFBL&#10;AwQUAAYACAAAACEA20kx5N4AAAAJAQAADwAAAGRycy9kb3ducmV2LnhtbEyPwU7DMBBE70j8g7VI&#10;XBB1WlJEQ5wKIUEvvTRE4urG2zhqvLZitw1/z/YEx9GMZt6U68kN4oxj7D0pmM8yEEitNz11Cpqv&#10;j8cXEDFpMnrwhAp+MMK6ur0pdWH8hXZ4rlMnuIRioRXYlEIhZWwtOh1nPiCxd/Cj04nl2Ekz6guX&#10;u0EusuxZOt0TL1gd8N1ie6xPTsFm87kLjdwetseHemWDoe+2eVLq/m56ewWRcEp/YbjiMzpUzLT3&#10;JzJRDAqWWc5fkoI8B8H+cnXVew7OFznIqpT/H1S/AAAA//8DAFBLAQItABQABgAIAAAAIQC2gziS&#10;/gAAAOEBAAATAAAAAAAAAAAAAAAAAAAAAABbQ29udGVudF9UeXBlc10ueG1sUEsBAi0AFAAGAAgA&#10;AAAhADj9If/WAAAAlAEAAAsAAAAAAAAAAAAAAAAALwEAAF9yZWxzLy5yZWxzUEsBAi0AFAAGAAgA&#10;AAAhAPHr+yPfAQAADQQAAA4AAAAAAAAAAAAAAAAALgIAAGRycy9lMm9Eb2MueG1sUEsBAi0AFAAG&#10;AAgAAAAhANtJMeTeAAAACQEAAA8AAAAAAAAAAAAAAAAAOQQAAGRycy9kb3ducmV2LnhtbFBLBQYA&#10;AAAABAAEAPMAAABEBQAAAAA=&#10;" adj="10800" strokecolor="#435056 [2884]" strokeweight="2.5pt">
                <v:stroke endarrow="open"/>
              </v:shape>
            </w:pict>
          </mc:Fallback>
        </mc:AlternateContent>
      </w:r>
      <w:r>
        <w:rPr>
          <w:rFonts w:cs="Times New Roman"/>
          <w:i/>
          <w:noProof/>
        </w:rPr>
        <mc:AlternateContent>
          <mc:Choice Requires="wps">
            <w:drawing>
              <wp:anchor distT="0" distB="0" distL="114300" distR="114300" simplePos="0" relativeHeight="251660288" behindDoc="0" locked="0" layoutInCell="1" allowOverlap="1" wp14:anchorId="4F93EB71" wp14:editId="2054B0AC">
                <wp:simplePos x="0" y="0"/>
                <wp:positionH relativeFrom="column">
                  <wp:posOffset>2628900</wp:posOffset>
                </wp:positionH>
                <wp:positionV relativeFrom="paragraph">
                  <wp:posOffset>27940</wp:posOffset>
                </wp:positionV>
                <wp:extent cx="571500" cy="685800"/>
                <wp:effectExtent l="0" t="101600" r="0" b="25400"/>
                <wp:wrapNone/>
                <wp:docPr id="10" name="Curved Connector 10"/>
                <wp:cNvGraphicFramePr/>
                <a:graphic xmlns:a="http://schemas.openxmlformats.org/drawingml/2006/main">
                  <a:graphicData uri="http://schemas.microsoft.com/office/word/2010/wordprocessingShape">
                    <wps:wsp>
                      <wps:cNvCnPr/>
                      <wps:spPr>
                        <a:xfrm flipV="1">
                          <a:off x="0" y="0"/>
                          <a:ext cx="571500" cy="6858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A0A8C48" id="Curved Connector 10" o:spid="_x0000_s1026" type="#_x0000_t38" style="position:absolute;margin-left:207pt;margin-top:2.2pt;width:45pt;height:54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6n2AEAAAMEAAAOAAAAZHJzL2Uyb0RvYy54bWysU8uu0zAQ3SPxD1b2NGlRL1XU9C56gQ2C&#10;itfe1xk3lvzS2DePv2fspAEBAgmxsWzPnDNzjsfH+9Fo1gMG5WxTbDdVwcAK1yp7bYovn9+8OBQs&#10;RG5brp2FppggFPen58+Og69h5zqnW0BGJDbUg2+KLkZfl2UQHRgeNs6DpaB0aHikI17LFvlA7EaX&#10;u6q6KweHrUcnIAS6fZiDxSnzSwkifpAyQGS6Kai3mFfM62Nay9OR11fkvlNiaYP/QxeGK0tFV6oH&#10;Hjl7QvULlVECXXAyboQzpZNSCcgaSM22+knNp457yFrInOBXm8L/oxXv+wsy1dLbkT2WG3qj8xP2&#10;0LKzs5b8c8goRD4NPtSUfrYXXE7BXzCJHiUaJrXyX4km20DC2JhdnlaXYYxM0OX+1XZfUTFBobvD&#10;/kB74itnmkTnMcS34AxLm6YQuZ21m5e5AO/fhTjDbukJqm1aI1f6tW1ZnDzJ4YhuWEqkeJmEzK3n&#10;XZw0zNiPIMkKanGXa+QhhLNG1nMaHy4E2LhdmSg7waTSegVWfwcu+QkKeUBX8GzdH6uuiFzZ2biC&#10;jbIOf1c9jreW5Zx/c2DWnSx4dO2UHzVbQ5OWn2P5FWmUfzxn+Pe/e/oGAAD//wMAUEsDBBQABgAI&#10;AAAAIQA/jkLw4AAAAAkBAAAPAAAAZHJzL2Rvd25yZXYueG1sTI9PS8NAEMXvgt9hmUJvdpMaRdJs&#10;ioilICg0/sHjNjtNgtnZkN2kaT+905Pe5vEeb34vW0+2FSP2vnGkIF5EIJBKZxqqFHy8b24eQPig&#10;yejWESo4oYd1fn2V6dS4I+1wLEIluIR8qhXUIXSplL6s0Wq/cB0SewfXWx1Y9pU0vT5yuW3lMoru&#10;pdUN8Ydad/hUY/lTDFbBzr9sxvNwS8P3a/F5/toent9Oo1Lz2fS4AhFwCn9huOAzOuTMtHcDGS9a&#10;BUmc8JbARwKC/bvoovccjJcJyDyT/xfkvwAAAP//AwBQSwECLQAUAAYACAAAACEAtoM4kv4AAADh&#10;AQAAEwAAAAAAAAAAAAAAAAAAAAAAW0NvbnRlbnRfVHlwZXNdLnhtbFBLAQItABQABgAIAAAAIQA4&#10;/SH/1gAAAJQBAAALAAAAAAAAAAAAAAAAAC8BAABfcmVscy8ucmVsc1BLAQItABQABgAIAAAAIQDq&#10;ub6n2AEAAAMEAAAOAAAAAAAAAAAAAAAAAC4CAABkcnMvZTJvRG9jLnhtbFBLAQItABQABgAIAAAA&#10;IQA/jkLw4AAAAAkBAAAPAAAAAAAAAAAAAAAAADIEAABkcnMvZG93bnJldi54bWxQSwUGAAAAAAQA&#10;BADzAAAAPwUAAAAA&#10;" adj="10800" strokecolor="#435056 [2884]" strokeweight="2.5pt">
                <v:stroke endarrow="open"/>
              </v:shape>
            </w:pict>
          </mc:Fallback>
        </mc:AlternateContent>
      </w:r>
    </w:p>
    <w:tbl>
      <w:tblPr>
        <w:tblStyle w:val="TableGrid"/>
        <w:tblW w:w="0" w:type="auto"/>
        <w:tblLook w:val="04A0" w:firstRow="1" w:lastRow="0" w:firstColumn="1" w:lastColumn="0" w:noHBand="0" w:noVBand="1"/>
      </w:tblPr>
      <w:tblGrid>
        <w:gridCol w:w="1677"/>
        <w:gridCol w:w="1736"/>
        <w:gridCol w:w="1679"/>
        <w:gridCol w:w="1650"/>
        <w:gridCol w:w="1658"/>
        <w:gridCol w:w="1670"/>
      </w:tblGrid>
      <w:tr w:rsidR="00C70E7D" w14:paraId="25742681" w14:textId="77777777" w:rsidTr="00614C31">
        <w:tc>
          <w:tcPr>
            <w:tcW w:w="5162" w:type="dxa"/>
            <w:gridSpan w:val="3"/>
          </w:tcPr>
          <w:p w14:paraId="27D44581" w14:textId="77777777" w:rsidR="005A4D09" w:rsidRPr="005A4D09" w:rsidRDefault="005A4D09" w:rsidP="00C70E7D">
            <w:pPr>
              <w:jc w:val="center"/>
              <w:rPr>
                <w:rFonts w:cs="Times New Roman"/>
                <w:b/>
              </w:rPr>
            </w:pPr>
          </w:p>
          <w:p w14:paraId="0F396494" w14:textId="77777777" w:rsidR="00C70E7D" w:rsidRPr="005A4D09" w:rsidRDefault="00C70E7D" w:rsidP="00C70E7D">
            <w:pPr>
              <w:jc w:val="center"/>
              <w:rPr>
                <w:rFonts w:cs="Times New Roman"/>
                <w:b/>
              </w:rPr>
            </w:pPr>
            <w:r w:rsidRPr="005A4D09">
              <w:rPr>
                <w:rFonts w:cs="Times New Roman"/>
                <w:b/>
              </w:rPr>
              <w:t>Lower Cognitive Skill Levels</w:t>
            </w:r>
          </w:p>
          <w:p w14:paraId="647FAA94" w14:textId="66152C9A" w:rsidR="005A4D09" w:rsidRPr="005A4D09" w:rsidRDefault="005A4D09" w:rsidP="00C70E7D">
            <w:pPr>
              <w:jc w:val="center"/>
              <w:rPr>
                <w:rFonts w:cs="Times New Roman"/>
                <w:b/>
              </w:rPr>
            </w:pPr>
          </w:p>
        </w:tc>
        <w:tc>
          <w:tcPr>
            <w:tcW w:w="5134" w:type="dxa"/>
            <w:gridSpan w:val="3"/>
          </w:tcPr>
          <w:p w14:paraId="157B2122" w14:textId="77777777" w:rsidR="005A4D09" w:rsidRPr="005A4D09" w:rsidRDefault="005A4D09" w:rsidP="00C70E7D">
            <w:pPr>
              <w:jc w:val="center"/>
              <w:rPr>
                <w:rFonts w:cs="Times New Roman"/>
                <w:b/>
              </w:rPr>
            </w:pPr>
          </w:p>
          <w:p w14:paraId="1D356BC5" w14:textId="0852763F" w:rsidR="00C70E7D" w:rsidRPr="005A4D09" w:rsidRDefault="00C70E7D" w:rsidP="00C70E7D">
            <w:pPr>
              <w:jc w:val="center"/>
              <w:rPr>
                <w:rFonts w:cs="Times New Roman"/>
                <w:b/>
              </w:rPr>
            </w:pPr>
            <w:r w:rsidRPr="005A4D09">
              <w:rPr>
                <w:rFonts w:cs="Times New Roman"/>
                <w:b/>
              </w:rPr>
              <w:t>Higher Cognitive Skill Levels</w:t>
            </w:r>
          </w:p>
        </w:tc>
      </w:tr>
      <w:tr w:rsidR="002C0CA8" w14:paraId="2C777814" w14:textId="77777777" w:rsidTr="00C70E7D">
        <w:tc>
          <w:tcPr>
            <w:tcW w:w="1713" w:type="dxa"/>
          </w:tcPr>
          <w:p w14:paraId="73F5F6B5" w14:textId="5E8F061B" w:rsidR="002C0CA8" w:rsidRPr="005A4D09" w:rsidRDefault="00C70E7D" w:rsidP="00C70E7D">
            <w:pPr>
              <w:jc w:val="center"/>
              <w:rPr>
                <w:rFonts w:cs="Times New Roman"/>
                <w:color w:val="0000FF"/>
              </w:rPr>
            </w:pPr>
            <w:r w:rsidRPr="005A4D09">
              <w:rPr>
                <w:rFonts w:cs="Times New Roman"/>
                <w:color w:val="0000FF"/>
              </w:rPr>
              <w:t>Knowledge</w:t>
            </w:r>
          </w:p>
        </w:tc>
        <w:tc>
          <w:tcPr>
            <w:tcW w:w="1736" w:type="dxa"/>
          </w:tcPr>
          <w:p w14:paraId="3E066169" w14:textId="2FEA34FE" w:rsidR="002C0CA8" w:rsidRPr="005A4D09" w:rsidRDefault="00C70E7D" w:rsidP="00C70E7D">
            <w:pPr>
              <w:jc w:val="center"/>
              <w:rPr>
                <w:rFonts w:cs="Times New Roman"/>
                <w:color w:val="0000FF"/>
              </w:rPr>
            </w:pPr>
            <w:r w:rsidRPr="005A4D09">
              <w:rPr>
                <w:rFonts w:cs="Times New Roman"/>
                <w:color w:val="0000FF"/>
              </w:rPr>
              <w:t>Comprehension</w:t>
            </w:r>
          </w:p>
        </w:tc>
        <w:tc>
          <w:tcPr>
            <w:tcW w:w="1713" w:type="dxa"/>
          </w:tcPr>
          <w:p w14:paraId="15D3C31A" w14:textId="46FFBF6D" w:rsidR="002C0CA8" w:rsidRPr="005A4D09" w:rsidRDefault="00C70E7D" w:rsidP="00C70E7D">
            <w:pPr>
              <w:jc w:val="center"/>
              <w:rPr>
                <w:rFonts w:cs="Times New Roman"/>
                <w:color w:val="0000FF"/>
              </w:rPr>
            </w:pPr>
            <w:r w:rsidRPr="005A4D09">
              <w:rPr>
                <w:rFonts w:cs="Times New Roman"/>
                <w:color w:val="0000FF"/>
              </w:rPr>
              <w:t>Application</w:t>
            </w:r>
          </w:p>
        </w:tc>
        <w:tc>
          <w:tcPr>
            <w:tcW w:w="1711" w:type="dxa"/>
          </w:tcPr>
          <w:p w14:paraId="77F07AA2" w14:textId="5C5F998E" w:rsidR="002C0CA8" w:rsidRPr="005A4D09" w:rsidRDefault="00C70E7D" w:rsidP="00C70E7D">
            <w:pPr>
              <w:jc w:val="center"/>
              <w:rPr>
                <w:rFonts w:cs="Times New Roman"/>
                <w:color w:val="0000FF"/>
              </w:rPr>
            </w:pPr>
            <w:r w:rsidRPr="005A4D09">
              <w:rPr>
                <w:rFonts w:cs="Times New Roman"/>
                <w:color w:val="0000FF"/>
              </w:rPr>
              <w:t>Analysis</w:t>
            </w:r>
          </w:p>
        </w:tc>
        <w:tc>
          <w:tcPr>
            <w:tcW w:w="1711" w:type="dxa"/>
          </w:tcPr>
          <w:p w14:paraId="5F9D8FE9" w14:textId="5A92B812" w:rsidR="002C0CA8" w:rsidRPr="005A4D09" w:rsidRDefault="00C70E7D" w:rsidP="00C70E7D">
            <w:pPr>
              <w:jc w:val="center"/>
              <w:rPr>
                <w:rFonts w:cs="Times New Roman"/>
                <w:color w:val="0000FF"/>
              </w:rPr>
            </w:pPr>
            <w:r w:rsidRPr="005A4D09">
              <w:rPr>
                <w:rFonts w:cs="Times New Roman"/>
                <w:color w:val="0000FF"/>
              </w:rPr>
              <w:t>Synthesis</w:t>
            </w:r>
          </w:p>
        </w:tc>
        <w:tc>
          <w:tcPr>
            <w:tcW w:w="1712" w:type="dxa"/>
          </w:tcPr>
          <w:p w14:paraId="3AA6CF9C" w14:textId="49AC826D" w:rsidR="002C0CA8" w:rsidRPr="005A4D09" w:rsidRDefault="00C70E7D" w:rsidP="00C70E7D">
            <w:pPr>
              <w:jc w:val="center"/>
              <w:rPr>
                <w:rFonts w:cs="Times New Roman"/>
                <w:color w:val="0000FF"/>
              </w:rPr>
            </w:pPr>
            <w:r w:rsidRPr="005A4D09">
              <w:rPr>
                <w:rFonts w:cs="Times New Roman"/>
                <w:color w:val="0000FF"/>
              </w:rPr>
              <w:t>Evaluation</w:t>
            </w:r>
          </w:p>
        </w:tc>
      </w:tr>
      <w:tr w:rsidR="002C0CA8" w14:paraId="7F37D33F" w14:textId="77777777" w:rsidTr="00C70E7D">
        <w:tc>
          <w:tcPr>
            <w:tcW w:w="1713" w:type="dxa"/>
          </w:tcPr>
          <w:p w14:paraId="32B95A8C" w14:textId="2F1C01A4" w:rsidR="002C0CA8" w:rsidRDefault="00E4147D" w:rsidP="00C70E7D">
            <w:pPr>
              <w:jc w:val="center"/>
              <w:rPr>
                <w:rFonts w:cs="Times New Roman"/>
              </w:rPr>
            </w:pPr>
            <w:r>
              <w:rPr>
                <w:rFonts w:cs="Times New Roman"/>
              </w:rPr>
              <w:t>12</w:t>
            </w:r>
            <w:r w:rsidR="00C70E7D" w:rsidRPr="00C70E7D">
              <w:rPr>
                <w:rFonts w:cs="Times New Roman"/>
              </w:rPr>
              <w:t>%</w:t>
            </w:r>
          </w:p>
          <w:p w14:paraId="7E465A06" w14:textId="7AF216F9" w:rsidR="005A4D09" w:rsidRPr="00C70E7D" w:rsidRDefault="005A4D09" w:rsidP="00C70E7D">
            <w:pPr>
              <w:jc w:val="center"/>
              <w:rPr>
                <w:rFonts w:cs="Times New Roman"/>
              </w:rPr>
            </w:pPr>
          </w:p>
        </w:tc>
        <w:tc>
          <w:tcPr>
            <w:tcW w:w="1736" w:type="dxa"/>
          </w:tcPr>
          <w:p w14:paraId="6BF8924F" w14:textId="21765741" w:rsidR="002C0CA8" w:rsidRPr="00C70E7D" w:rsidRDefault="00E4147D" w:rsidP="00C70E7D">
            <w:pPr>
              <w:jc w:val="center"/>
              <w:rPr>
                <w:rFonts w:cs="Times New Roman"/>
              </w:rPr>
            </w:pPr>
            <w:r>
              <w:rPr>
                <w:rFonts w:cs="Times New Roman"/>
              </w:rPr>
              <w:t>12</w:t>
            </w:r>
            <w:r w:rsidR="00C70E7D" w:rsidRPr="00C70E7D">
              <w:rPr>
                <w:rFonts w:cs="Times New Roman"/>
              </w:rPr>
              <w:t>%</w:t>
            </w:r>
          </w:p>
        </w:tc>
        <w:tc>
          <w:tcPr>
            <w:tcW w:w="1713" w:type="dxa"/>
          </w:tcPr>
          <w:p w14:paraId="3A11E3E6" w14:textId="5318A27E" w:rsidR="002C0CA8" w:rsidRPr="00C70E7D" w:rsidRDefault="00C70E7D" w:rsidP="00E4147D">
            <w:pPr>
              <w:jc w:val="center"/>
              <w:rPr>
                <w:rFonts w:cs="Times New Roman"/>
              </w:rPr>
            </w:pPr>
            <w:r w:rsidRPr="00C70E7D">
              <w:rPr>
                <w:rFonts w:cs="Times New Roman"/>
              </w:rPr>
              <w:t>4</w:t>
            </w:r>
            <w:r w:rsidR="00E4147D">
              <w:rPr>
                <w:rFonts w:cs="Times New Roman"/>
              </w:rPr>
              <w:t>5</w:t>
            </w:r>
            <w:r w:rsidRPr="00C70E7D">
              <w:rPr>
                <w:rFonts w:cs="Times New Roman"/>
              </w:rPr>
              <w:t>%</w:t>
            </w:r>
          </w:p>
        </w:tc>
        <w:tc>
          <w:tcPr>
            <w:tcW w:w="1711" w:type="dxa"/>
          </w:tcPr>
          <w:p w14:paraId="5B60CA7E" w14:textId="78896C41" w:rsidR="002C0CA8" w:rsidRPr="00C70E7D" w:rsidRDefault="00E4147D" w:rsidP="00C70E7D">
            <w:pPr>
              <w:jc w:val="center"/>
              <w:rPr>
                <w:rFonts w:cs="Times New Roman"/>
              </w:rPr>
            </w:pPr>
            <w:r>
              <w:rPr>
                <w:rFonts w:cs="Times New Roman"/>
              </w:rPr>
              <w:t>8</w:t>
            </w:r>
            <w:r w:rsidR="00C70E7D" w:rsidRPr="00C70E7D">
              <w:rPr>
                <w:rFonts w:cs="Times New Roman"/>
              </w:rPr>
              <w:t>%</w:t>
            </w:r>
          </w:p>
        </w:tc>
        <w:tc>
          <w:tcPr>
            <w:tcW w:w="1711" w:type="dxa"/>
          </w:tcPr>
          <w:p w14:paraId="2B4518BE" w14:textId="7E162491" w:rsidR="002C0CA8" w:rsidRPr="00C70E7D" w:rsidRDefault="00E4147D" w:rsidP="00C70E7D">
            <w:pPr>
              <w:jc w:val="center"/>
              <w:rPr>
                <w:rFonts w:cs="Times New Roman"/>
              </w:rPr>
            </w:pPr>
            <w:r>
              <w:rPr>
                <w:rFonts w:cs="Times New Roman"/>
              </w:rPr>
              <w:t>14</w:t>
            </w:r>
            <w:r w:rsidR="00C70E7D" w:rsidRPr="00C70E7D">
              <w:rPr>
                <w:rFonts w:cs="Times New Roman"/>
              </w:rPr>
              <w:t>%</w:t>
            </w:r>
          </w:p>
        </w:tc>
        <w:tc>
          <w:tcPr>
            <w:tcW w:w="1712" w:type="dxa"/>
          </w:tcPr>
          <w:p w14:paraId="14D30A1E" w14:textId="52ABFC11" w:rsidR="002C0CA8" w:rsidRPr="00C70E7D" w:rsidRDefault="00E4147D" w:rsidP="00C70E7D">
            <w:pPr>
              <w:jc w:val="center"/>
              <w:rPr>
                <w:rFonts w:cs="Times New Roman"/>
              </w:rPr>
            </w:pPr>
            <w:r>
              <w:rPr>
                <w:rFonts w:cs="Times New Roman"/>
              </w:rPr>
              <w:t>9</w:t>
            </w:r>
            <w:r w:rsidR="00C70E7D" w:rsidRPr="00C70E7D">
              <w:rPr>
                <w:rFonts w:cs="Times New Roman"/>
              </w:rPr>
              <w:t>%</w:t>
            </w:r>
          </w:p>
        </w:tc>
      </w:tr>
      <w:tr w:rsidR="00C70E7D" w14:paraId="76895A56" w14:textId="77777777" w:rsidTr="00614C31">
        <w:tc>
          <w:tcPr>
            <w:tcW w:w="5162" w:type="dxa"/>
            <w:gridSpan w:val="3"/>
          </w:tcPr>
          <w:p w14:paraId="7A145B0C" w14:textId="77777777" w:rsidR="00C70E7D" w:rsidRPr="005A4D09" w:rsidRDefault="00C70E7D" w:rsidP="00C70E7D">
            <w:pPr>
              <w:jc w:val="center"/>
              <w:rPr>
                <w:rFonts w:cs="Times New Roman"/>
                <w:b/>
              </w:rPr>
            </w:pPr>
          </w:p>
          <w:p w14:paraId="49D98E4E" w14:textId="55227484" w:rsidR="00C70E7D" w:rsidRPr="005A4D09" w:rsidRDefault="00E4147D" w:rsidP="00C70E7D">
            <w:pPr>
              <w:jc w:val="center"/>
              <w:rPr>
                <w:rFonts w:cs="Times New Roman"/>
                <w:b/>
              </w:rPr>
            </w:pPr>
            <w:r>
              <w:rPr>
                <w:rFonts w:cs="Times New Roman"/>
                <w:b/>
              </w:rPr>
              <w:t>69</w:t>
            </w:r>
            <w:r w:rsidR="00C70E7D" w:rsidRPr="005A4D09">
              <w:rPr>
                <w:rFonts w:cs="Times New Roman"/>
                <w:b/>
              </w:rPr>
              <w:t>%</w:t>
            </w:r>
          </w:p>
        </w:tc>
        <w:tc>
          <w:tcPr>
            <w:tcW w:w="5134" w:type="dxa"/>
            <w:gridSpan w:val="3"/>
          </w:tcPr>
          <w:p w14:paraId="79F5D830" w14:textId="77777777" w:rsidR="00C70E7D" w:rsidRPr="005A4D09" w:rsidRDefault="00C70E7D" w:rsidP="00C70E7D">
            <w:pPr>
              <w:jc w:val="center"/>
              <w:rPr>
                <w:rFonts w:cs="Times New Roman"/>
                <w:b/>
              </w:rPr>
            </w:pPr>
          </w:p>
          <w:p w14:paraId="21FCADF4" w14:textId="24125219" w:rsidR="00C70E7D" w:rsidRPr="005A4D09" w:rsidRDefault="00E4147D" w:rsidP="00C70E7D">
            <w:pPr>
              <w:jc w:val="center"/>
              <w:rPr>
                <w:rFonts w:cs="Times New Roman"/>
                <w:b/>
              </w:rPr>
            </w:pPr>
            <w:r>
              <w:rPr>
                <w:rFonts w:cs="Times New Roman"/>
                <w:b/>
              </w:rPr>
              <w:t>31</w:t>
            </w:r>
            <w:r w:rsidR="00C70E7D" w:rsidRPr="005A4D09">
              <w:rPr>
                <w:rFonts w:cs="Times New Roman"/>
                <w:b/>
              </w:rPr>
              <w:t>%</w:t>
            </w:r>
          </w:p>
          <w:p w14:paraId="1B1E5AAD" w14:textId="4B589FF1" w:rsidR="00C70E7D" w:rsidRPr="005A4D09" w:rsidRDefault="00C70E7D" w:rsidP="00C70E7D">
            <w:pPr>
              <w:jc w:val="center"/>
              <w:rPr>
                <w:rFonts w:cs="Times New Roman"/>
                <w:b/>
              </w:rPr>
            </w:pPr>
          </w:p>
        </w:tc>
      </w:tr>
    </w:tbl>
    <w:p w14:paraId="576C3F2D" w14:textId="3C2201C4" w:rsidR="001F4429" w:rsidRDefault="0075476B" w:rsidP="004D0C86">
      <w:pPr>
        <w:rPr>
          <w:rFonts w:cs="Times New Roman"/>
          <w:i/>
        </w:rPr>
      </w:pPr>
      <w:r w:rsidRPr="00CB6FDD">
        <w:rPr>
          <w:rFonts w:cs="Times New Roman"/>
          <w:b/>
          <w:i/>
        </w:rPr>
        <w:lastRenderedPageBreak/>
        <w:t>Finding 5</w:t>
      </w:r>
      <w:r>
        <w:rPr>
          <w:rFonts w:cs="Times New Roman"/>
          <w:i/>
        </w:rPr>
        <w:t xml:space="preserve">: </w:t>
      </w:r>
      <w:r w:rsidR="004D0C86" w:rsidRPr="004D0C86">
        <w:rPr>
          <w:rFonts w:cs="Times New Roman"/>
          <w:i/>
        </w:rPr>
        <w:t>Most LCC Programs of St</w:t>
      </w:r>
      <w:r w:rsidR="001F4429">
        <w:rPr>
          <w:rFonts w:cs="Times New Roman"/>
          <w:i/>
        </w:rPr>
        <w:t xml:space="preserve">udy are assessing learning outcomes across the curriculum. </w:t>
      </w:r>
    </w:p>
    <w:p w14:paraId="319C24CC" w14:textId="5B287DB0" w:rsidR="00DC1437" w:rsidRPr="00DC1437" w:rsidRDefault="00DC1437" w:rsidP="004D0C86">
      <w:pPr>
        <w:rPr>
          <w:rFonts w:cs="Times New Roman"/>
        </w:rPr>
      </w:pPr>
      <w:r>
        <w:rPr>
          <w:rFonts w:cs="Times New Roman"/>
        </w:rPr>
        <w:t xml:space="preserve">LCC faculty is assessing </w:t>
      </w:r>
      <w:r w:rsidRPr="004D009E">
        <w:rPr>
          <w:rFonts w:cs="Times New Roman"/>
          <w:b/>
        </w:rPr>
        <w:t>88%</w:t>
      </w:r>
      <w:r>
        <w:rPr>
          <w:rFonts w:cs="Times New Roman"/>
        </w:rPr>
        <w:t xml:space="preserve"> of the program level and institutional level learning outcomes. Faculty use both formative and summative assessment to ensure progressive learning that helps students to meet program level and institutional level learning outcomes.</w:t>
      </w:r>
      <w:r w:rsidRPr="00DC1437">
        <w:t xml:space="preserve"> </w:t>
      </w:r>
      <w:r>
        <w:t>Our result is higher than a benchmark of</w:t>
      </w:r>
      <w:r w:rsidRPr="00E243A9">
        <w:rPr>
          <w:rFonts w:cs="Times New Roman"/>
        </w:rPr>
        <w:t xml:space="preserve"> 8</w:t>
      </w:r>
      <w:r w:rsidR="00260A3C">
        <w:rPr>
          <w:rFonts w:cs="Times New Roman"/>
        </w:rPr>
        <w:t>7</w:t>
      </w:r>
      <w:r w:rsidRPr="00E243A9">
        <w:rPr>
          <w:rFonts w:cs="Times New Roman"/>
        </w:rPr>
        <w:t xml:space="preserve">% of AAC&amp;U member institutions </w:t>
      </w:r>
      <w:r>
        <w:rPr>
          <w:rFonts w:cs="Times New Roman"/>
        </w:rPr>
        <w:t xml:space="preserve">that report assessing learning outcomes across the curriculum. </w:t>
      </w:r>
    </w:p>
    <w:tbl>
      <w:tblPr>
        <w:tblStyle w:val="TableGrid"/>
        <w:tblW w:w="0" w:type="auto"/>
        <w:tblInd w:w="108" w:type="dxa"/>
        <w:tblLook w:val="04A0" w:firstRow="1" w:lastRow="0" w:firstColumn="1" w:lastColumn="0" w:noHBand="0" w:noVBand="1"/>
      </w:tblPr>
      <w:tblGrid>
        <w:gridCol w:w="2880"/>
        <w:gridCol w:w="1620"/>
        <w:gridCol w:w="2880"/>
        <w:gridCol w:w="2430"/>
      </w:tblGrid>
      <w:tr w:rsidR="00D9002B" w:rsidRPr="00E243A9" w14:paraId="7A46A2F2" w14:textId="77777777" w:rsidTr="00D9002B">
        <w:tc>
          <w:tcPr>
            <w:tcW w:w="2880" w:type="dxa"/>
            <w:shd w:val="clear" w:color="auto" w:fill="F3F3F3"/>
          </w:tcPr>
          <w:p w14:paraId="6E110342" w14:textId="77777777" w:rsidR="00D9002B" w:rsidRPr="00E243A9" w:rsidRDefault="00D9002B" w:rsidP="00D9002B">
            <w:pPr>
              <w:jc w:val="center"/>
              <w:rPr>
                <w:rFonts w:cs="Times New Roman"/>
                <w:b/>
              </w:rPr>
            </w:pPr>
          </w:p>
          <w:p w14:paraId="1DB6F4BD" w14:textId="77777777" w:rsidR="00D9002B" w:rsidRDefault="00D9002B" w:rsidP="00D9002B">
            <w:pPr>
              <w:jc w:val="center"/>
              <w:rPr>
                <w:rFonts w:cs="Times New Roman"/>
                <w:b/>
              </w:rPr>
            </w:pPr>
            <w:r w:rsidRPr="00E243A9">
              <w:rPr>
                <w:rFonts w:cs="Times New Roman"/>
                <w:b/>
              </w:rPr>
              <w:t>DIVISION</w:t>
            </w:r>
          </w:p>
          <w:p w14:paraId="0ED7B095" w14:textId="77777777" w:rsidR="00D9002B" w:rsidRPr="00E243A9" w:rsidRDefault="00D9002B" w:rsidP="00D9002B">
            <w:pPr>
              <w:jc w:val="center"/>
              <w:rPr>
                <w:rFonts w:cs="Times New Roman"/>
                <w:b/>
              </w:rPr>
            </w:pPr>
          </w:p>
        </w:tc>
        <w:tc>
          <w:tcPr>
            <w:tcW w:w="1620" w:type="dxa"/>
            <w:shd w:val="clear" w:color="auto" w:fill="F3F3F3"/>
          </w:tcPr>
          <w:p w14:paraId="4773C739" w14:textId="77777777" w:rsidR="00260A3C" w:rsidRDefault="00260A3C" w:rsidP="00260A3C">
            <w:pPr>
              <w:jc w:val="center"/>
              <w:rPr>
                <w:rFonts w:cs="Times New Roman"/>
                <w:b/>
              </w:rPr>
            </w:pPr>
            <w:r>
              <w:rPr>
                <w:rFonts w:cs="Times New Roman"/>
                <w:b/>
              </w:rPr>
              <w:t>AAC&amp;U Member Institutions</w:t>
            </w:r>
          </w:p>
          <w:p w14:paraId="60898BF3" w14:textId="3A401509" w:rsidR="00D9002B" w:rsidRPr="00E243A9" w:rsidRDefault="00D9002B" w:rsidP="00D9002B">
            <w:pPr>
              <w:jc w:val="center"/>
              <w:rPr>
                <w:rFonts w:cs="Times New Roman"/>
                <w:b/>
              </w:rPr>
            </w:pPr>
          </w:p>
        </w:tc>
        <w:tc>
          <w:tcPr>
            <w:tcW w:w="2880" w:type="dxa"/>
            <w:tcBorders>
              <w:bottom w:val="single" w:sz="4" w:space="0" w:color="auto"/>
            </w:tcBorders>
            <w:shd w:val="clear" w:color="auto" w:fill="F3F3F3"/>
          </w:tcPr>
          <w:p w14:paraId="17CAD7B9" w14:textId="42D088E7" w:rsidR="00D9002B" w:rsidRPr="00E243A9" w:rsidRDefault="006364DE" w:rsidP="001E771A">
            <w:pPr>
              <w:jc w:val="center"/>
              <w:rPr>
                <w:rFonts w:cs="Times New Roman"/>
                <w:b/>
              </w:rPr>
            </w:pPr>
            <w:r>
              <w:rPr>
                <w:rFonts w:cs="Times New Roman"/>
                <w:b/>
              </w:rPr>
              <w:t xml:space="preserve">% Assessment Methods </w:t>
            </w:r>
            <w:r w:rsidR="001E771A">
              <w:rPr>
                <w:rFonts w:cs="Times New Roman"/>
                <w:b/>
              </w:rPr>
              <w:t>Reported</w:t>
            </w:r>
          </w:p>
        </w:tc>
        <w:tc>
          <w:tcPr>
            <w:tcW w:w="2430" w:type="dxa"/>
            <w:tcBorders>
              <w:bottom w:val="single" w:sz="4" w:space="0" w:color="auto"/>
            </w:tcBorders>
            <w:shd w:val="clear" w:color="auto" w:fill="D9D9D9"/>
          </w:tcPr>
          <w:p w14:paraId="5BC2A401" w14:textId="77777777" w:rsidR="00D9002B" w:rsidRPr="00E243A9" w:rsidRDefault="00D9002B" w:rsidP="00D9002B">
            <w:pPr>
              <w:jc w:val="center"/>
              <w:rPr>
                <w:rFonts w:cs="Times New Roman"/>
                <w:b/>
              </w:rPr>
            </w:pPr>
          </w:p>
          <w:p w14:paraId="551AA55C" w14:textId="77777777" w:rsidR="00D9002B" w:rsidRPr="00E243A9" w:rsidRDefault="00D9002B" w:rsidP="00D9002B">
            <w:pPr>
              <w:jc w:val="center"/>
              <w:rPr>
                <w:rFonts w:cs="Times New Roman"/>
                <w:b/>
              </w:rPr>
            </w:pPr>
            <w:r w:rsidRPr="00E243A9">
              <w:rPr>
                <w:rFonts w:cs="Times New Roman"/>
                <w:b/>
              </w:rPr>
              <w:t>LCC Total</w:t>
            </w:r>
          </w:p>
        </w:tc>
      </w:tr>
      <w:tr w:rsidR="00D9002B" w:rsidRPr="00E243A9" w14:paraId="721E9382" w14:textId="77777777" w:rsidTr="00D9002B">
        <w:tc>
          <w:tcPr>
            <w:tcW w:w="2880" w:type="dxa"/>
          </w:tcPr>
          <w:p w14:paraId="02E606AB" w14:textId="77777777" w:rsidR="00D9002B" w:rsidRDefault="00D9002B" w:rsidP="00D9002B">
            <w:pPr>
              <w:rPr>
                <w:rFonts w:cs="Times New Roman"/>
              </w:rPr>
            </w:pPr>
          </w:p>
          <w:p w14:paraId="4D9A7F33" w14:textId="77777777" w:rsidR="00D9002B" w:rsidRDefault="00D9002B" w:rsidP="00D9002B">
            <w:pPr>
              <w:rPr>
                <w:rFonts w:cs="Times New Roman"/>
              </w:rPr>
            </w:pPr>
            <w:r w:rsidRPr="00E243A9">
              <w:rPr>
                <w:rFonts w:cs="Times New Roman"/>
              </w:rPr>
              <w:t xml:space="preserve">Arts &amp; Sciences </w:t>
            </w:r>
          </w:p>
          <w:p w14:paraId="3B0EA065" w14:textId="77777777" w:rsidR="00D9002B" w:rsidRPr="00E243A9" w:rsidRDefault="00D9002B" w:rsidP="00D9002B">
            <w:pPr>
              <w:rPr>
                <w:rFonts w:cs="Times New Roman"/>
              </w:rPr>
            </w:pPr>
          </w:p>
        </w:tc>
        <w:tc>
          <w:tcPr>
            <w:tcW w:w="1620" w:type="dxa"/>
          </w:tcPr>
          <w:p w14:paraId="3B2C1D81" w14:textId="77777777" w:rsidR="00D9002B" w:rsidRDefault="00D9002B" w:rsidP="00D9002B">
            <w:pPr>
              <w:jc w:val="center"/>
              <w:rPr>
                <w:rFonts w:cs="Times New Roman"/>
              </w:rPr>
            </w:pPr>
          </w:p>
          <w:p w14:paraId="2674BD66" w14:textId="38B36BB9" w:rsidR="00D9002B" w:rsidRPr="00EF7C3F" w:rsidRDefault="00D9002B" w:rsidP="00D9002B">
            <w:pPr>
              <w:jc w:val="center"/>
              <w:rPr>
                <w:rFonts w:cs="Times New Roman"/>
              </w:rPr>
            </w:pPr>
            <m:oMath>
              <m:r>
                <w:rPr>
                  <w:rFonts w:ascii="Cambria Math" w:hAnsi="Cambria Math" w:cs="Times New Roman"/>
                </w:rPr>
                <m:t>≥</m:t>
              </m:r>
            </m:oMath>
            <w:r>
              <w:rPr>
                <w:rFonts w:cs="Times New Roman"/>
              </w:rPr>
              <w:t xml:space="preserve"> </w:t>
            </w:r>
            <w:r w:rsidR="006364DE">
              <w:rPr>
                <w:rFonts w:cs="Times New Roman"/>
              </w:rPr>
              <w:t>87</w:t>
            </w:r>
            <w:r w:rsidRPr="00E243A9">
              <w:rPr>
                <w:rFonts w:cs="Times New Roman"/>
              </w:rPr>
              <w:t>%</w:t>
            </w:r>
          </w:p>
        </w:tc>
        <w:tc>
          <w:tcPr>
            <w:tcW w:w="2880" w:type="dxa"/>
            <w:tcBorders>
              <w:bottom w:val="single" w:sz="4" w:space="0" w:color="auto"/>
            </w:tcBorders>
            <w:shd w:val="clear" w:color="auto" w:fill="FFFF99"/>
          </w:tcPr>
          <w:p w14:paraId="6792BC3B" w14:textId="77777777" w:rsidR="00D9002B" w:rsidRDefault="00D9002B" w:rsidP="00D9002B">
            <w:pPr>
              <w:jc w:val="center"/>
              <w:rPr>
                <w:rFonts w:cs="Times New Roman"/>
              </w:rPr>
            </w:pPr>
          </w:p>
          <w:p w14:paraId="034C1CE5" w14:textId="3B118469" w:rsidR="00D9002B" w:rsidRPr="00E243A9" w:rsidRDefault="00517ADE" w:rsidP="00D9002B">
            <w:pPr>
              <w:jc w:val="center"/>
              <w:rPr>
                <w:rFonts w:cs="Times New Roman"/>
              </w:rPr>
            </w:pPr>
            <w:r>
              <w:rPr>
                <w:rFonts w:cs="Times New Roman"/>
              </w:rPr>
              <w:t>84</w:t>
            </w:r>
            <w:r w:rsidR="00D9002B">
              <w:rPr>
                <w:rFonts w:cs="Times New Roman"/>
              </w:rPr>
              <w:t xml:space="preserve">% </w:t>
            </w:r>
            <w:r>
              <w:rPr>
                <w:rFonts w:cs="Times New Roman"/>
              </w:rPr>
              <w:t>(251/300)</w:t>
            </w:r>
          </w:p>
        </w:tc>
        <w:tc>
          <w:tcPr>
            <w:tcW w:w="2430" w:type="dxa"/>
            <w:vMerge w:val="restart"/>
            <w:shd w:val="clear" w:color="auto" w:fill="99CC00"/>
          </w:tcPr>
          <w:p w14:paraId="19FD4187" w14:textId="77777777" w:rsidR="00D9002B" w:rsidRPr="00E243A9" w:rsidRDefault="00D9002B" w:rsidP="00D9002B">
            <w:pPr>
              <w:rPr>
                <w:rFonts w:cs="Times New Roman"/>
                <w:b/>
              </w:rPr>
            </w:pPr>
          </w:p>
          <w:p w14:paraId="23C7A4B3" w14:textId="77777777" w:rsidR="00D9002B" w:rsidRDefault="00D9002B" w:rsidP="00D9002B">
            <w:pPr>
              <w:tabs>
                <w:tab w:val="left" w:pos="220"/>
                <w:tab w:val="center" w:pos="1161"/>
              </w:tabs>
              <w:rPr>
                <w:rFonts w:cs="Times New Roman"/>
                <w:b/>
              </w:rPr>
            </w:pPr>
            <w:r w:rsidRPr="00E243A9">
              <w:rPr>
                <w:rFonts w:cs="Times New Roman"/>
                <w:b/>
              </w:rPr>
              <w:tab/>
            </w:r>
            <w:r w:rsidRPr="00E243A9">
              <w:rPr>
                <w:rFonts w:cs="Times New Roman"/>
                <w:b/>
              </w:rPr>
              <w:tab/>
            </w:r>
          </w:p>
          <w:p w14:paraId="3D062A8A" w14:textId="77777777" w:rsidR="00D9002B" w:rsidRDefault="00D9002B" w:rsidP="00D9002B">
            <w:pPr>
              <w:tabs>
                <w:tab w:val="left" w:pos="220"/>
                <w:tab w:val="center" w:pos="1161"/>
              </w:tabs>
              <w:rPr>
                <w:rFonts w:cs="Times New Roman"/>
                <w:b/>
              </w:rPr>
            </w:pPr>
          </w:p>
          <w:p w14:paraId="309ABCDC" w14:textId="77777777" w:rsidR="00D9002B" w:rsidRDefault="00D9002B" w:rsidP="00D9002B">
            <w:pPr>
              <w:tabs>
                <w:tab w:val="left" w:pos="220"/>
                <w:tab w:val="center" w:pos="1161"/>
              </w:tabs>
              <w:rPr>
                <w:rFonts w:cs="Times New Roman"/>
                <w:b/>
              </w:rPr>
            </w:pPr>
          </w:p>
          <w:p w14:paraId="3B4C1DC3" w14:textId="37A2013C" w:rsidR="00D9002B" w:rsidRPr="00E243A9" w:rsidRDefault="00517ADE" w:rsidP="00517ADE">
            <w:pPr>
              <w:tabs>
                <w:tab w:val="left" w:pos="220"/>
                <w:tab w:val="center" w:pos="1161"/>
              </w:tabs>
              <w:jc w:val="center"/>
              <w:rPr>
                <w:rFonts w:cs="Times New Roman"/>
              </w:rPr>
            </w:pPr>
            <w:r>
              <w:rPr>
                <w:rFonts w:cs="Times New Roman"/>
                <w:b/>
              </w:rPr>
              <w:t>88</w:t>
            </w:r>
            <w:r w:rsidR="00D9002B" w:rsidRPr="00E243A9">
              <w:rPr>
                <w:rFonts w:cs="Times New Roman"/>
                <w:b/>
              </w:rPr>
              <w:t>%</w:t>
            </w:r>
            <w:r w:rsidR="00D9002B">
              <w:rPr>
                <w:rFonts w:cs="Times New Roman"/>
              </w:rPr>
              <w:t xml:space="preserve"> </w:t>
            </w:r>
            <w:r>
              <w:rPr>
                <w:rFonts w:cs="Times New Roman"/>
              </w:rPr>
              <w:t>(346/395)</w:t>
            </w:r>
          </w:p>
        </w:tc>
      </w:tr>
      <w:tr w:rsidR="00D9002B" w:rsidRPr="00E243A9" w14:paraId="4AF345BD" w14:textId="77777777" w:rsidTr="00D9002B">
        <w:tc>
          <w:tcPr>
            <w:tcW w:w="2880" w:type="dxa"/>
          </w:tcPr>
          <w:p w14:paraId="1A0DE1FB" w14:textId="77777777" w:rsidR="00D9002B" w:rsidRDefault="00D9002B" w:rsidP="00D9002B">
            <w:pPr>
              <w:rPr>
                <w:rFonts w:cs="Times New Roman"/>
              </w:rPr>
            </w:pPr>
          </w:p>
          <w:p w14:paraId="21A3287C" w14:textId="77777777" w:rsidR="00D9002B" w:rsidRDefault="00D9002B" w:rsidP="00D9002B">
            <w:pPr>
              <w:rPr>
                <w:rFonts w:cs="Times New Roman"/>
              </w:rPr>
            </w:pPr>
            <w:r w:rsidRPr="00E243A9">
              <w:rPr>
                <w:rFonts w:cs="Times New Roman"/>
              </w:rPr>
              <w:t>Technical Careers</w:t>
            </w:r>
          </w:p>
          <w:p w14:paraId="0B54EFC5" w14:textId="77777777" w:rsidR="00D9002B" w:rsidRPr="00E243A9" w:rsidRDefault="00D9002B" w:rsidP="00D9002B">
            <w:pPr>
              <w:rPr>
                <w:rFonts w:cs="Times New Roman"/>
              </w:rPr>
            </w:pPr>
          </w:p>
        </w:tc>
        <w:tc>
          <w:tcPr>
            <w:tcW w:w="1620" w:type="dxa"/>
          </w:tcPr>
          <w:p w14:paraId="547F206C" w14:textId="77777777" w:rsidR="00D9002B" w:rsidRDefault="00D9002B" w:rsidP="00D9002B">
            <w:pPr>
              <w:jc w:val="center"/>
              <w:rPr>
                <w:rFonts w:cs="Times New Roman"/>
              </w:rPr>
            </w:pPr>
          </w:p>
          <w:p w14:paraId="2C0BB07E" w14:textId="4EE9431E" w:rsidR="00D9002B" w:rsidRPr="00E243A9" w:rsidRDefault="00D9002B" w:rsidP="00D9002B">
            <w:pPr>
              <w:jc w:val="center"/>
              <w:rPr>
                <w:rFonts w:cs="Times New Roman"/>
              </w:rPr>
            </w:pPr>
            <m:oMath>
              <m:r>
                <w:rPr>
                  <w:rFonts w:ascii="Cambria Math" w:hAnsi="Cambria Math" w:cs="Times New Roman"/>
                </w:rPr>
                <m:t>≥</m:t>
              </m:r>
            </m:oMath>
            <w:r>
              <w:rPr>
                <w:rFonts w:cs="Times New Roman"/>
              </w:rPr>
              <w:t xml:space="preserve"> </w:t>
            </w:r>
            <w:r w:rsidR="006364DE">
              <w:rPr>
                <w:rFonts w:cs="Times New Roman"/>
              </w:rPr>
              <w:t>87</w:t>
            </w:r>
            <w:r w:rsidRPr="00E243A9">
              <w:rPr>
                <w:rFonts w:cs="Times New Roman"/>
              </w:rPr>
              <w:t>%</w:t>
            </w:r>
          </w:p>
        </w:tc>
        <w:tc>
          <w:tcPr>
            <w:tcW w:w="2880" w:type="dxa"/>
            <w:shd w:val="clear" w:color="auto" w:fill="99CC00"/>
          </w:tcPr>
          <w:p w14:paraId="577EA2C5" w14:textId="77777777" w:rsidR="00D9002B" w:rsidRDefault="00D9002B" w:rsidP="00D9002B">
            <w:pPr>
              <w:jc w:val="center"/>
              <w:rPr>
                <w:rFonts w:cs="Times New Roman"/>
              </w:rPr>
            </w:pPr>
          </w:p>
          <w:p w14:paraId="303746F8" w14:textId="7D82BEBE" w:rsidR="00D9002B" w:rsidRPr="00E243A9" w:rsidRDefault="00D9002B" w:rsidP="00D9002B">
            <w:pPr>
              <w:jc w:val="center"/>
              <w:rPr>
                <w:rFonts w:cs="Times New Roman"/>
              </w:rPr>
            </w:pPr>
            <w:r>
              <w:rPr>
                <w:rFonts w:cs="Times New Roman"/>
              </w:rPr>
              <w:t>100%</w:t>
            </w:r>
            <w:r w:rsidR="00517ADE">
              <w:rPr>
                <w:rFonts w:cs="Times New Roman"/>
              </w:rPr>
              <w:t xml:space="preserve"> (32/32)</w:t>
            </w:r>
          </w:p>
        </w:tc>
        <w:tc>
          <w:tcPr>
            <w:tcW w:w="2430" w:type="dxa"/>
            <w:vMerge/>
            <w:shd w:val="clear" w:color="auto" w:fill="99CC00"/>
          </w:tcPr>
          <w:p w14:paraId="53AA650B" w14:textId="77777777" w:rsidR="00D9002B" w:rsidRPr="00E243A9" w:rsidRDefault="00D9002B" w:rsidP="00D9002B">
            <w:pPr>
              <w:rPr>
                <w:rFonts w:cs="Times New Roman"/>
              </w:rPr>
            </w:pPr>
          </w:p>
        </w:tc>
      </w:tr>
      <w:tr w:rsidR="00D9002B" w:rsidRPr="00E243A9" w14:paraId="23666603" w14:textId="77777777" w:rsidTr="00D9002B">
        <w:tc>
          <w:tcPr>
            <w:tcW w:w="2880" w:type="dxa"/>
          </w:tcPr>
          <w:p w14:paraId="71C74F54" w14:textId="77777777" w:rsidR="00D9002B" w:rsidRDefault="00D9002B" w:rsidP="00D9002B">
            <w:pPr>
              <w:rPr>
                <w:rFonts w:cs="Times New Roman"/>
              </w:rPr>
            </w:pPr>
          </w:p>
          <w:p w14:paraId="063B4A65" w14:textId="77777777" w:rsidR="00D9002B" w:rsidRDefault="00D9002B" w:rsidP="00D9002B">
            <w:pPr>
              <w:rPr>
                <w:rFonts w:cs="Times New Roman"/>
              </w:rPr>
            </w:pPr>
            <w:r w:rsidRPr="00E243A9">
              <w:rPr>
                <w:rFonts w:cs="Times New Roman"/>
              </w:rPr>
              <w:t>Health &amp; Human Services</w:t>
            </w:r>
          </w:p>
          <w:p w14:paraId="2BA1C85A" w14:textId="77777777" w:rsidR="00D9002B" w:rsidRPr="00E243A9" w:rsidRDefault="00D9002B" w:rsidP="00D9002B">
            <w:pPr>
              <w:rPr>
                <w:rFonts w:cs="Times New Roman"/>
              </w:rPr>
            </w:pPr>
          </w:p>
        </w:tc>
        <w:tc>
          <w:tcPr>
            <w:tcW w:w="1620" w:type="dxa"/>
          </w:tcPr>
          <w:p w14:paraId="788FFF5B" w14:textId="77777777" w:rsidR="00D9002B" w:rsidRPr="00EF7C3F" w:rsidRDefault="00D9002B" w:rsidP="00D9002B">
            <w:pPr>
              <w:jc w:val="center"/>
              <w:rPr>
                <w:rFonts w:cs="Times New Roman"/>
              </w:rPr>
            </w:pPr>
          </w:p>
          <w:p w14:paraId="47443E05" w14:textId="2B98BD8B" w:rsidR="00D9002B" w:rsidRPr="00EF7C3F" w:rsidRDefault="00D9002B" w:rsidP="00D9002B">
            <w:pPr>
              <w:jc w:val="center"/>
              <w:rPr>
                <w:rFonts w:cs="Times New Roman"/>
              </w:rPr>
            </w:pPr>
            <m:oMath>
              <m:r>
                <w:rPr>
                  <w:rFonts w:ascii="Cambria Math" w:hAnsi="Cambria Math" w:cs="Times New Roman"/>
                </w:rPr>
                <m:t>≥</m:t>
              </m:r>
            </m:oMath>
            <w:r>
              <w:rPr>
                <w:rFonts w:cs="Times New Roman"/>
              </w:rPr>
              <w:t xml:space="preserve"> </w:t>
            </w:r>
            <w:r w:rsidR="006364DE">
              <w:rPr>
                <w:rFonts w:cs="Times New Roman"/>
              </w:rPr>
              <w:t>87</w:t>
            </w:r>
            <w:r w:rsidRPr="00E243A9">
              <w:rPr>
                <w:rFonts w:cs="Times New Roman"/>
              </w:rPr>
              <w:t>%</w:t>
            </w:r>
          </w:p>
        </w:tc>
        <w:tc>
          <w:tcPr>
            <w:tcW w:w="2880" w:type="dxa"/>
            <w:shd w:val="clear" w:color="auto" w:fill="99CC00"/>
          </w:tcPr>
          <w:p w14:paraId="200C1851" w14:textId="77777777" w:rsidR="00D9002B" w:rsidRDefault="00D9002B" w:rsidP="00D9002B">
            <w:pPr>
              <w:jc w:val="center"/>
              <w:rPr>
                <w:rFonts w:cs="Times New Roman"/>
              </w:rPr>
            </w:pPr>
          </w:p>
          <w:p w14:paraId="0B0D8E61" w14:textId="1BDC7590" w:rsidR="00D9002B" w:rsidRPr="00E243A9" w:rsidRDefault="00D9002B" w:rsidP="00D9002B">
            <w:pPr>
              <w:jc w:val="center"/>
              <w:rPr>
                <w:rFonts w:cs="Times New Roman"/>
              </w:rPr>
            </w:pPr>
            <w:r>
              <w:rPr>
                <w:rFonts w:cs="Times New Roman"/>
              </w:rPr>
              <w:t>100%</w:t>
            </w:r>
            <w:r w:rsidR="00517ADE">
              <w:rPr>
                <w:rFonts w:cs="Times New Roman"/>
              </w:rPr>
              <w:t xml:space="preserve"> (63/63)</w:t>
            </w:r>
          </w:p>
        </w:tc>
        <w:tc>
          <w:tcPr>
            <w:tcW w:w="2430" w:type="dxa"/>
            <w:vMerge/>
            <w:shd w:val="clear" w:color="auto" w:fill="99CC00"/>
          </w:tcPr>
          <w:p w14:paraId="221BE67F" w14:textId="77777777" w:rsidR="00D9002B" w:rsidRPr="00E243A9" w:rsidRDefault="00D9002B" w:rsidP="00D9002B">
            <w:pPr>
              <w:rPr>
                <w:rFonts w:cs="Times New Roman"/>
              </w:rPr>
            </w:pPr>
          </w:p>
        </w:tc>
      </w:tr>
    </w:tbl>
    <w:p w14:paraId="007A4138" w14:textId="77777777" w:rsidR="00CB6FDD" w:rsidRDefault="00CB6FDD" w:rsidP="004D0C86"/>
    <w:p w14:paraId="4B25A465" w14:textId="5520CFB9" w:rsidR="004D0C86" w:rsidRDefault="008B0BF6" w:rsidP="004D0C86">
      <w:pPr>
        <w:rPr>
          <w:rFonts w:cs="Times New Roman"/>
          <w:i/>
        </w:rPr>
      </w:pPr>
      <w:r w:rsidRPr="00CB6FDD">
        <w:rPr>
          <w:rFonts w:cs="Times New Roman"/>
          <w:b/>
          <w:i/>
        </w:rPr>
        <w:t>F</w:t>
      </w:r>
      <w:r w:rsidR="0075476B" w:rsidRPr="00CB6FDD">
        <w:rPr>
          <w:rFonts w:cs="Times New Roman"/>
          <w:b/>
          <w:i/>
        </w:rPr>
        <w:t>inding 6</w:t>
      </w:r>
      <w:r w:rsidR="0075476B">
        <w:rPr>
          <w:rFonts w:cs="Times New Roman"/>
          <w:i/>
        </w:rPr>
        <w:t xml:space="preserve">: </w:t>
      </w:r>
      <w:r w:rsidR="004750E8">
        <w:rPr>
          <w:rFonts w:cs="Times New Roman"/>
          <w:i/>
        </w:rPr>
        <w:t xml:space="preserve">LCC faculty </w:t>
      </w:r>
      <w:r w:rsidR="001E771A">
        <w:rPr>
          <w:rFonts w:cs="Times New Roman"/>
          <w:i/>
        </w:rPr>
        <w:t xml:space="preserve">primarily </w:t>
      </w:r>
      <w:r w:rsidR="004750E8">
        <w:rPr>
          <w:rFonts w:cs="Times New Roman"/>
          <w:i/>
        </w:rPr>
        <w:t xml:space="preserve">use performance-based assessments to assess students’ learning across the curriculums. </w:t>
      </w:r>
    </w:p>
    <w:p w14:paraId="591F213D" w14:textId="2B93704E" w:rsidR="005119A7" w:rsidRDefault="008B0BF6" w:rsidP="004D0C86">
      <w:pPr>
        <w:rPr>
          <w:rFonts w:cs="Times New Roman"/>
        </w:rPr>
      </w:pPr>
      <w:r w:rsidRPr="008B0BF6">
        <w:rPr>
          <w:rFonts w:cs="Times New Roman"/>
        </w:rPr>
        <w:t>Authentic, o</w:t>
      </w:r>
      <w:r w:rsidR="00D911D7">
        <w:rPr>
          <w:rFonts w:cs="Times New Roman"/>
        </w:rPr>
        <w:t>r performance-based assessments</w:t>
      </w:r>
      <w:r w:rsidR="002A5B84">
        <w:rPr>
          <w:rFonts w:cs="Times New Roman"/>
        </w:rPr>
        <w:t>,</w:t>
      </w:r>
      <w:r w:rsidR="00D911D7">
        <w:rPr>
          <w:rFonts w:cs="Times New Roman"/>
        </w:rPr>
        <w:t xml:space="preserve"> require students to</w:t>
      </w:r>
      <w:r w:rsidR="00F0051E">
        <w:rPr>
          <w:rFonts w:cs="Times New Roman"/>
        </w:rPr>
        <w:t xml:space="preserve"> be active participants in their learning by</w:t>
      </w:r>
      <w:r w:rsidR="00D911D7">
        <w:rPr>
          <w:rFonts w:cs="Times New Roman"/>
        </w:rPr>
        <w:t xml:space="preserve"> demonstrat</w:t>
      </w:r>
      <w:r w:rsidR="00F0051E">
        <w:rPr>
          <w:rFonts w:cs="Times New Roman"/>
        </w:rPr>
        <w:t>ing</w:t>
      </w:r>
      <w:r w:rsidR="00D911D7">
        <w:rPr>
          <w:rFonts w:cs="Times New Roman"/>
        </w:rPr>
        <w:t xml:space="preserve"> knowledge, skills, abilities, and learning processes. Some examples of how LCC faculty may use performance-based testing in the classroom include: </w:t>
      </w:r>
    </w:p>
    <w:p w14:paraId="12D9E6F8" w14:textId="282840D3" w:rsidR="00D911D7" w:rsidRPr="00F0051E" w:rsidRDefault="00D911D7" w:rsidP="00F0051E">
      <w:pPr>
        <w:pStyle w:val="ListParagraph"/>
        <w:numPr>
          <w:ilvl w:val="0"/>
          <w:numId w:val="17"/>
        </w:numPr>
        <w:rPr>
          <w:rFonts w:cs="Times New Roman"/>
        </w:rPr>
      </w:pPr>
      <w:r w:rsidRPr="00F0051E">
        <w:rPr>
          <w:rFonts w:cs="Times New Roman"/>
        </w:rPr>
        <w:t>Projects that enable the use of critical thinking, problem solv</w:t>
      </w:r>
      <w:r w:rsidR="00F0051E" w:rsidRPr="00F0051E">
        <w:rPr>
          <w:rFonts w:cs="Times New Roman"/>
        </w:rPr>
        <w:t>ing, and decision-making skills</w:t>
      </w:r>
    </w:p>
    <w:p w14:paraId="75BA6241" w14:textId="64DE9FAB" w:rsidR="00F0051E" w:rsidRPr="00F0051E" w:rsidRDefault="00F0051E" w:rsidP="00F0051E">
      <w:pPr>
        <w:pStyle w:val="ListParagraph"/>
        <w:numPr>
          <w:ilvl w:val="0"/>
          <w:numId w:val="17"/>
        </w:numPr>
        <w:rPr>
          <w:rFonts w:cs="Times New Roman"/>
        </w:rPr>
      </w:pPr>
      <w:r w:rsidRPr="00F0051E">
        <w:rPr>
          <w:rFonts w:cs="Times New Roman"/>
        </w:rPr>
        <w:t>Capstones to assess the students’ achievement of program-level learning outcomes</w:t>
      </w:r>
    </w:p>
    <w:p w14:paraId="2B4B9CC5" w14:textId="5E12C48C" w:rsidR="00F0051E" w:rsidRPr="00F0051E" w:rsidRDefault="00F0051E" w:rsidP="00F0051E">
      <w:pPr>
        <w:pStyle w:val="ListParagraph"/>
        <w:numPr>
          <w:ilvl w:val="0"/>
          <w:numId w:val="17"/>
        </w:numPr>
        <w:rPr>
          <w:rFonts w:cs="Times New Roman"/>
        </w:rPr>
      </w:pPr>
      <w:r w:rsidRPr="00F0051E">
        <w:rPr>
          <w:rFonts w:cs="Times New Roman"/>
        </w:rPr>
        <w:t xml:space="preserve">Portfolios that showcase collections of students’ work and demonstrate learning progression throughout the curriculum </w:t>
      </w:r>
    </w:p>
    <w:p w14:paraId="5791E604" w14:textId="00B74B8C" w:rsidR="00D911D7" w:rsidRPr="00F0051E" w:rsidRDefault="00D911D7" w:rsidP="00F0051E">
      <w:pPr>
        <w:pStyle w:val="ListParagraph"/>
        <w:numPr>
          <w:ilvl w:val="0"/>
          <w:numId w:val="17"/>
        </w:numPr>
        <w:rPr>
          <w:rFonts w:cs="Times New Roman"/>
        </w:rPr>
      </w:pPr>
      <w:r w:rsidRPr="00F0051E">
        <w:rPr>
          <w:rFonts w:cs="Times New Roman"/>
        </w:rPr>
        <w:t>Demonstrations that give students the opportunity to show their mastery of the learning content</w:t>
      </w:r>
    </w:p>
    <w:p w14:paraId="5C1DDD15" w14:textId="6567492F" w:rsidR="00D911D7" w:rsidRPr="00F0051E" w:rsidRDefault="00F0051E" w:rsidP="00F0051E">
      <w:pPr>
        <w:jc w:val="center"/>
        <w:rPr>
          <w:rFonts w:cs="Times New Roman"/>
          <w:b/>
        </w:rPr>
      </w:pPr>
      <w:r w:rsidRPr="00F0051E">
        <w:rPr>
          <w:rFonts w:cs="Times New Roman"/>
          <w:b/>
        </w:rPr>
        <w:t>Use of Performance-Based Assessment by Division</w:t>
      </w:r>
    </w:p>
    <w:tbl>
      <w:tblPr>
        <w:tblStyle w:val="TableGrid"/>
        <w:tblW w:w="0" w:type="auto"/>
        <w:tblInd w:w="108" w:type="dxa"/>
        <w:tblLayout w:type="fixed"/>
        <w:tblLook w:val="04A0" w:firstRow="1" w:lastRow="0" w:firstColumn="1" w:lastColumn="0" w:noHBand="0" w:noVBand="1"/>
      </w:tblPr>
      <w:tblGrid>
        <w:gridCol w:w="2880"/>
        <w:gridCol w:w="2070"/>
        <w:gridCol w:w="2439"/>
        <w:gridCol w:w="2430"/>
      </w:tblGrid>
      <w:tr w:rsidR="004750E8" w:rsidRPr="00E243A9" w14:paraId="3FC41474" w14:textId="77777777" w:rsidTr="00F0051E">
        <w:tc>
          <w:tcPr>
            <w:tcW w:w="2880" w:type="dxa"/>
            <w:shd w:val="clear" w:color="auto" w:fill="F3F3F3"/>
          </w:tcPr>
          <w:p w14:paraId="0F71DAAD" w14:textId="77777777" w:rsidR="004750E8" w:rsidRPr="00E243A9" w:rsidRDefault="004750E8" w:rsidP="00AA7293">
            <w:pPr>
              <w:jc w:val="center"/>
              <w:rPr>
                <w:rFonts w:cs="Times New Roman"/>
                <w:b/>
              </w:rPr>
            </w:pPr>
          </w:p>
          <w:p w14:paraId="1DDEE3A2" w14:textId="77777777" w:rsidR="004750E8" w:rsidRDefault="004750E8" w:rsidP="00AA7293">
            <w:pPr>
              <w:jc w:val="center"/>
              <w:rPr>
                <w:rFonts w:cs="Times New Roman"/>
                <w:b/>
              </w:rPr>
            </w:pPr>
            <w:r w:rsidRPr="00E243A9">
              <w:rPr>
                <w:rFonts w:cs="Times New Roman"/>
                <w:b/>
              </w:rPr>
              <w:t>DIVISION</w:t>
            </w:r>
          </w:p>
          <w:p w14:paraId="0ACF8DF4" w14:textId="77777777" w:rsidR="004750E8" w:rsidRPr="00E243A9" w:rsidRDefault="004750E8" w:rsidP="00AA7293">
            <w:pPr>
              <w:jc w:val="center"/>
              <w:rPr>
                <w:rFonts w:cs="Times New Roman"/>
                <w:b/>
              </w:rPr>
            </w:pPr>
          </w:p>
        </w:tc>
        <w:tc>
          <w:tcPr>
            <w:tcW w:w="2070" w:type="dxa"/>
            <w:shd w:val="clear" w:color="auto" w:fill="F3F3F3"/>
          </w:tcPr>
          <w:p w14:paraId="578583C9" w14:textId="7299655F" w:rsidR="004750E8" w:rsidRDefault="004750E8" w:rsidP="00AA7293">
            <w:pPr>
              <w:jc w:val="center"/>
              <w:rPr>
                <w:rFonts w:cs="Times New Roman"/>
                <w:b/>
              </w:rPr>
            </w:pPr>
            <w:r>
              <w:rPr>
                <w:rFonts w:cs="Times New Roman"/>
                <w:b/>
              </w:rPr>
              <w:t>% Performance-Based Assessment</w:t>
            </w:r>
          </w:p>
          <w:p w14:paraId="381D8E10" w14:textId="77777777" w:rsidR="004750E8" w:rsidRPr="00E243A9" w:rsidRDefault="004750E8" w:rsidP="00AA7293">
            <w:pPr>
              <w:jc w:val="center"/>
              <w:rPr>
                <w:rFonts w:cs="Times New Roman"/>
                <w:b/>
              </w:rPr>
            </w:pPr>
          </w:p>
        </w:tc>
        <w:tc>
          <w:tcPr>
            <w:tcW w:w="2439" w:type="dxa"/>
            <w:tcBorders>
              <w:bottom w:val="single" w:sz="4" w:space="0" w:color="auto"/>
            </w:tcBorders>
            <w:shd w:val="clear" w:color="auto" w:fill="F3F3F3"/>
          </w:tcPr>
          <w:p w14:paraId="60DFBFB2" w14:textId="4877B55B" w:rsidR="004750E8" w:rsidRPr="00E243A9" w:rsidRDefault="004750E8" w:rsidP="00AA7293">
            <w:pPr>
              <w:jc w:val="center"/>
              <w:rPr>
                <w:rFonts w:cs="Times New Roman"/>
                <w:b/>
              </w:rPr>
            </w:pPr>
            <w:r>
              <w:rPr>
                <w:rFonts w:cs="Times New Roman"/>
                <w:b/>
              </w:rPr>
              <w:t>% Non-Performance-Based Assessment</w:t>
            </w:r>
          </w:p>
        </w:tc>
        <w:tc>
          <w:tcPr>
            <w:tcW w:w="2430" w:type="dxa"/>
            <w:tcBorders>
              <w:bottom w:val="single" w:sz="4" w:space="0" w:color="auto"/>
            </w:tcBorders>
            <w:shd w:val="clear" w:color="auto" w:fill="D9D9D9"/>
          </w:tcPr>
          <w:p w14:paraId="02C9FF3D" w14:textId="77777777" w:rsidR="004750E8" w:rsidRPr="00E243A9" w:rsidRDefault="004750E8" w:rsidP="00AA7293">
            <w:pPr>
              <w:jc w:val="center"/>
              <w:rPr>
                <w:rFonts w:cs="Times New Roman"/>
                <w:b/>
              </w:rPr>
            </w:pPr>
          </w:p>
          <w:p w14:paraId="1A516609" w14:textId="77777777" w:rsidR="004750E8" w:rsidRPr="00E243A9" w:rsidRDefault="004750E8" w:rsidP="00AA7293">
            <w:pPr>
              <w:jc w:val="center"/>
              <w:rPr>
                <w:rFonts w:cs="Times New Roman"/>
                <w:b/>
              </w:rPr>
            </w:pPr>
            <w:r w:rsidRPr="00E243A9">
              <w:rPr>
                <w:rFonts w:cs="Times New Roman"/>
                <w:b/>
              </w:rPr>
              <w:t>LCC Total</w:t>
            </w:r>
          </w:p>
        </w:tc>
      </w:tr>
      <w:tr w:rsidR="004750E8" w:rsidRPr="00E243A9" w14:paraId="56EE786F" w14:textId="77777777" w:rsidTr="00F0051E">
        <w:tc>
          <w:tcPr>
            <w:tcW w:w="2880" w:type="dxa"/>
          </w:tcPr>
          <w:p w14:paraId="72BAA4BB" w14:textId="19090012" w:rsidR="004750E8" w:rsidRPr="00E243A9" w:rsidRDefault="004750E8" w:rsidP="00AA7293">
            <w:pPr>
              <w:rPr>
                <w:rFonts w:cs="Times New Roman"/>
              </w:rPr>
            </w:pPr>
            <w:r w:rsidRPr="00E243A9">
              <w:rPr>
                <w:rFonts w:cs="Times New Roman"/>
              </w:rPr>
              <w:t xml:space="preserve">Arts &amp; Sciences </w:t>
            </w:r>
          </w:p>
        </w:tc>
        <w:tc>
          <w:tcPr>
            <w:tcW w:w="2070" w:type="dxa"/>
          </w:tcPr>
          <w:p w14:paraId="47B34E1F" w14:textId="5C4EE08B" w:rsidR="004750E8" w:rsidRPr="00EF7C3F" w:rsidRDefault="004750E8" w:rsidP="00AA7293">
            <w:pPr>
              <w:jc w:val="center"/>
              <w:rPr>
                <w:rFonts w:cs="Times New Roman"/>
              </w:rPr>
            </w:pPr>
            <w:r>
              <w:rPr>
                <w:rFonts w:cs="Times New Roman"/>
              </w:rPr>
              <w:t>81%</w:t>
            </w:r>
          </w:p>
        </w:tc>
        <w:tc>
          <w:tcPr>
            <w:tcW w:w="2439" w:type="dxa"/>
            <w:tcBorders>
              <w:bottom w:val="single" w:sz="4" w:space="0" w:color="auto"/>
            </w:tcBorders>
            <w:shd w:val="clear" w:color="auto" w:fill="auto"/>
          </w:tcPr>
          <w:p w14:paraId="6514B59A" w14:textId="59092CE8" w:rsidR="004750E8" w:rsidRPr="00E243A9" w:rsidRDefault="004750E8" w:rsidP="00AA7293">
            <w:pPr>
              <w:jc w:val="center"/>
              <w:rPr>
                <w:rFonts w:cs="Times New Roman"/>
              </w:rPr>
            </w:pPr>
            <w:r>
              <w:rPr>
                <w:rFonts w:cs="Times New Roman"/>
              </w:rPr>
              <w:t>19%</w:t>
            </w:r>
          </w:p>
        </w:tc>
        <w:tc>
          <w:tcPr>
            <w:tcW w:w="2430" w:type="dxa"/>
            <w:vMerge w:val="restart"/>
            <w:shd w:val="clear" w:color="auto" w:fill="auto"/>
          </w:tcPr>
          <w:p w14:paraId="4AC99606" w14:textId="77777777" w:rsidR="004750E8" w:rsidRPr="008D79B8" w:rsidRDefault="004750E8" w:rsidP="00AA7293">
            <w:pPr>
              <w:tabs>
                <w:tab w:val="left" w:pos="220"/>
                <w:tab w:val="center" w:pos="1161"/>
              </w:tabs>
              <w:jc w:val="center"/>
              <w:rPr>
                <w:rFonts w:cs="Times New Roman"/>
                <w:b/>
              </w:rPr>
            </w:pPr>
            <w:r w:rsidRPr="008D79B8">
              <w:rPr>
                <w:rFonts w:cs="Times New Roman"/>
                <w:b/>
              </w:rPr>
              <w:t xml:space="preserve">83% </w:t>
            </w:r>
          </w:p>
          <w:p w14:paraId="609BE008" w14:textId="328D46A3" w:rsidR="004750E8" w:rsidRPr="00E243A9" w:rsidRDefault="004750E8" w:rsidP="00AA7293">
            <w:pPr>
              <w:tabs>
                <w:tab w:val="left" w:pos="220"/>
                <w:tab w:val="center" w:pos="1161"/>
              </w:tabs>
              <w:jc w:val="center"/>
              <w:rPr>
                <w:rFonts w:cs="Times New Roman"/>
              </w:rPr>
            </w:pPr>
            <w:r w:rsidRPr="008D79B8">
              <w:rPr>
                <w:rFonts w:cs="Times New Roman"/>
                <w:b/>
              </w:rPr>
              <w:t>Performance-Based Assessment</w:t>
            </w:r>
          </w:p>
        </w:tc>
      </w:tr>
      <w:tr w:rsidR="004750E8" w:rsidRPr="00E243A9" w14:paraId="425F7A66" w14:textId="77777777" w:rsidTr="00F0051E">
        <w:tc>
          <w:tcPr>
            <w:tcW w:w="2880" w:type="dxa"/>
          </w:tcPr>
          <w:p w14:paraId="65B872F6" w14:textId="4097C262" w:rsidR="004750E8" w:rsidRPr="00E243A9" w:rsidRDefault="004750E8" w:rsidP="00AA7293">
            <w:pPr>
              <w:rPr>
                <w:rFonts w:cs="Times New Roman"/>
              </w:rPr>
            </w:pPr>
            <w:r w:rsidRPr="00E243A9">
              <w:rPr>
                <w:rFonts w:cs="Times New Roman"/>
              </w:rPr>
              <w:t>Technical Careers</w:t>
            </w:r>
          </w:p>
        </w:tc>
        <w:tc>
          <w:tcPr>
            <w:tcW w:w="2070" w:type="dxa"/>
          </w:tcPr>
          <w:p w14:paraId="7715AB3B" w14:textId="500C9626" w:rsidR="004750E8" w:rsidRPr="00E243A9" w:rsidRDefault="004750E8" w:rsidP="00AA7293">
            <w:pPr>
              <w:jc w:val="center"/>
              <w:rPr>
                <w:rFonts w:cs="Times New Roman"/>
              </w:rPr>
            </w:pPr>
            <w:r>
              <w:rPr>
                <w:rFonts w:cs="Times New Roman"/>
              </w:rPr>
              <w:t>100%</w:t>
            </w:r>
          </w:p>
        </w:tc>
        <w:tc>
          <w:tcPr>
            <w:tcW w:w="2439" w:type="dxa"/>
            <w:shd w:val="clear" w:color="auto" w:fill="auto"/>
          </w:tcPr>
          <w:p w14:paraId="432129E5" w14:textId="0DE90FCB" w:rsidR="004750E8" w:rsidRPr="00E243A9" w:rsidRDefault="004750E8" w:rsidP="00AA7293">
            <w:pPr>
              <w:jc w:val="center"/>
              <w:rPr>
                <w:rFonts w:cs="Times New Roman"/>
              </w:rPr>
            </w:pPr>
            <w:r>
              <w:rPr>
                <w:rFonts w:cs="Times New Roman"/>
              </w:rPr>
              <w:t>0%</w:t>
            </w:r>
          </w:p>
        </w:tc>
        <w:tc>
          <w:tcPr>
            <w:tcW w:w="2430" w:type="dxa"/>
            <w:vMerge/>
            <w:shd w:val="clear" w:color="auto" w:fill="99CC00"/>
          </w:tcPr>
          <w:p w14:paraId="6A510CA8" w14:textId="77777777" w:rsidR="004750E8" w:rsidRPr="00E243A9" w:rsidRDefault="004750E8" w:rsidP="00AA7293">
            <w:pPr>
              <w:rPr>
                <w:rFonts w:cs="Times New Roman"/>
              </w:rPr>
            </w:pPr>
          </w:p>
        </w:tc>
      </w:tr>
      <w:tr w:rsidR="004750E8" w:rsidRPr="00E243A9" w14:paraId="311A3AE2" w14:textId="77777777" w:rsidTr="00F0051E">
        <w:tc>
          <w:tcPr>
            <w:tcW w:w="2880" w:type="dxa"/>
          </w:tcPr>
          <w:p w14:paraId="24AFC1A0" w14:textId="1657C7C6" w:rsidR="004750E8" w:rsidRPr="00E243A9" w:rsidRDefault="004750E8" w:rsidP="00AA7293">
            <w:pPr>
              <w:rPr>
                <w:rFonts w:cs="Times New Roman"/>
              </w:rPr>
            </w:pPr>
            <w:r w:rsidRPr="00E243A9">
              <w:rPr>
                <w:rFonts w:cs="Times New Roman"/>
              </w:rPr>
              <w:t>Health &amp; Human Services</w:t>
            </w:r>
          </w:p>
        </w:tc>
        <w:tc>
          <w:tcPr>
            <w:tcW w:w="2070" w:type="dxa"/>
          </w:tcPr>
          <w:p w14:paraId="7C465213" w14:textId="410F8602" w:rsidR="004750E8" w:rsidRPr="00EF7C3F" w:rsidRDefault="004750E8" w:rsidP="00AA7293">
            <w:pPr>
              <w:jc w:val="center"/>
              <w:rPr>
                <w:rFonts w:cs="Times New Roman"/>
              </w:rPr>
            </w:pPr>
            <w:r>
              <w:rPr>
                <w:rFonts w:cs="Times New Roman"/>
              </w:rPr>
              <w:t>96%</w:t>
            </w:r>
          </w:p>
        </w:tc>
        <w:tc>
          <w:tcPr>
            <w:tcW w:w="2439" w:type="dxa"/>
            <w:shd w:val="clear" w:color="auto" w:fill="auto"/>
          </w:tcPr>
          <w:p w14:paraId="730034A0" w14:textId="0B94DB76" w:rsidR="004750E8" w:rsidRPr="00E243A9" w:rsidRDefault="004750E8" w:rsidP="00AA7293">
            <w:pPr>
              <w:jc w:val="center"/>
              <w:rPr>
                <w:rFonts w:cs="Times New Roman"/>
              </w:rPr>
            </w:pPr>
            <w:r>
              <w:rPr>
                <w:rFonts w:cs="Times New Roman"/>
              </w:rPr>
              <w:t>4%</w:t>
            </w:r>
          </w:p>
        </w:tc>
        <w:tc>
          <w:tcPr>
            <w:tcW w:w="2430" w:type="dxa"/>
            <w:vMerge/>
            <w:shd w:val="clear" w:color="auto" w:fill="99CC00"/>
          </w:tcPr>
          <w:p w14:paraId="69EFD70F" w14:textId="77777777" w:rsidR="004750E8" w:rsidRPr="00E243A9" w:rsidRDefault="004750E8" w:rsidP="00AA7293">
            <w:pPr>
              <w:rPr>
                <w:rFonts w:cs="Times New Roman"/>
              </w:rPr>
            </w:pPr>
          </w:p>
        </w:tc>
      </w:tr>
    </w:tbl>
    <w:p w14:paraId="1A4B02CB" w14:textId="77777777" w:rsidR="005119A7" w:rsidRDefault="005119A7" w:rsidP="004D0C86">
      <w:pPr>
        <w:rPr>
          <w:rFonts w:cs="Times New Roman"/>
          <w:i/>
        </w:rPr>
      </w:pPr>
    </w:p>
    <w:p w14:paraId="57C213E4" w14:textId="05C220D2" w:rsidR="00703EDE" w:rsidRPr="00703EDE" w:rsidRDefault="006D6037" w:rsidP="004D0C86">
      <w:pPr>
        <w:rPr>
          <w:rFonts w:cs="Times New Roman"/>
        </w:rPr>
      </w:pPr>
      <w:r>
        <w:rPr>
          <w:rFonts w:cs="Times New Roman"/>
        </w:rPr>
        <w:lastRenderedPageBreak/>
        <w:t>The following table shows the methods</w:t>
      </w:r>
      <w:r w:rsidR="00703EDE" w:rsidRPr="00703EDE">
        <w:rPr>
          <w:rFonts w:cs="Times New Roman"/>
        </w:rPr>
        <w:t xml:space="preserve"> of assessment that are used </w:t>
      </w:r>
      <w:r w:rsidR="0012051B">
        <w:rPr>
          <w:rFonts w:cs="Times New Roman"/>
        </w:rPr>
        <w:t xml:space="preserve">across the curriculums </w:t>
      </w:r>
      <w:r w:rsidR="00703EDE" w:rsidRPr="00703EDE">
        <w:rPr>
          <w:rFonts w:cs="Times New Roman"/>
        </w:rPr>
        <w:t xml:space="preserve">by LCC faculty and the percentage of use for each method of assessment. </w:t>
      </w:r>
    </w:p>
    <w:p w14:paraId="4AB6F339" w14:textId="1A2E2D74" w:rsidR="005119A7" w:rsidRPr="00703EDE" w:rsidRDefault="00DA3C2D" w:rsidP="00703EDE">
      <w:pPr>
        <w:jc w:val="center"/>
        <w:rPr>
          <w:rFonts w:cs="Times New Roman"/>
          <w:b/>
        </w:rPr>
      </w:pPr>
      <w:r w:rsidRPr="00DA3C2D">
        <w:rPr>
          <w:rFonts w:cs="Times New Roman"/>
          <w:noProof/>
        </w:rPr>
        <mc:AlternateContent>
          <mc:Choice Requires="wps">
            <w:drawing>
              <wp:anchor distT="45720" distB="45720" distL="114300" distR="114300" simplePos="0" relativeHeight="251656192" behindDoc="0" locked="0" layoutInCell="1" allowOverlap="1" wp14:anchorId="4CD075C2" wp14:editId="3ADCA6FE">
                <wp:simplePos x="0" y="0"/>
                <wp:positionH relativeFrom="column">
                  <wp:posOffset>-201930</wp:posOffset>
                </wp:positionH>
                <wp:positionV relativeFrom="paragraph">
                  <wp:posOffset>424180</wp:posOffset>
                </wp:positionV>
                <wp:extent cx="6981190" cy="3958590"/>
                <wp:effectExtent l="0" t="0" r="0" b="381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190" cy="3958590"/>
                        </a:xfrm>
                        <a:prstGeom prst="rect">
                          <a:avLst/>
                        </a:prstGeom>
                        <a:noFill/>
                        <a:ln w="9525">
                          <a:noFill/>
                          <a:miter lim="800000"/>
                          <a:headEnd/>
                          <a:tailEnd/>
                        </a:ln>
                      </wps:spPr>
                      <wps:txbx>
                        <w:txbxContent>
                          <w:p w14:paraId="52E0D1DE" w14:textId="5858F570" w:rsidR="009B3159" w:rsidRDefault="009B3159">
                            <w:r>
                              <w:rPr>
                                <w:noProof/>
                              </w:rPr>
                              <w:drawing>
                                <wp:inline distT="0" distB="0" distL="0" distR="0" wp14:anchorId="67CCA9F8" wp14:editId="68225B65">
                                  <wp:extent cx="6862296" cy="3958814"/>
                                  <wp:effectExtent l="0" t="0" r="1524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075C2" id="_x0000_s1028" type="#_x0000_t202" style="position:absolute;left:0;text-align:left;margin-left:-15.9pt;margin-top:33.4pt;width:549.7pt;height:311.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bCDgIAAPwDAAAOAAAAZHJzL2Uyb0RvYy54bWysU9tuGyEQfa/Uf0C81+vd2qm9Mo7SpKkq&#10;pRcp6QdglvWiAkMBe9f9+gys7VjpW1UeEMPMHOacGVbXg9FkL31QYBktJ1NKpBXQKLtl9OfT/bsF&#10;JSFy23ANVjJ6kIFer9++WfWulhV0oBvpCYLYUPeO0S5GVxdFEJ00PEzASYvOFrzhEU2/LRrPe0Q3&#10;uqim06uiB984D0KGgLd3o5OuM37bShG/t22QkWhGsbaYd5/3TdqL9YrXW89dp8SxDP4PVRiuLD56&#10;hrrjkZOdV39BGSU8BGjjRIApoG2VkJkDsimnr9g8dtzJzAXFCe4sU/h/sOLb/ocnqmG0KlEfyw02&#10;6UkOkXyEgVRJn96FGsMeHQbGAa+xz5lrcA8gfgVi4bbjditvvIe+k7zB+sqUWVykjjghgWz6r9Dg&#10;M3wXIQMNrTdJPJSDIDrWcTj3JpUi8PJquSjLJboE+t4v54s5GukNXp/SnQ/xswRD0oFRj83P8Hz/&#10;EOIYegpJr1m4V1rjPa+1JT2jy3k1zwkXHqMizqdWhtHFNK1xYhLLT7bJyZErPZ6xFm2PtBPTkXMc&#10;NsOo8EnNDTQH1MHDOI74ffDQgf9DSY+jyGj4veNeUqK/WNRyWc5maXazMZt/qNDwl57NpYdbgVCM&#10;RkrG423M8z5SvkHNW5XVSM0ZKzmWjCOW9Tx+hzTDl3aOevm062cAAAD//wMAUEsDBBQABgAIAAAA&#10;IQCID57x3wAAAAsBAAAPAAAAZHJzL2Rvd25yZXYueG1sTI/NTsMwEITvSH0Ha5G4tXYLGBriVAjE&#10;tajlR+LmxtskaryOYrcJb9/tCU6rnR3NfJuvRt+KE/axCWRgPlMgkMrgGqoMfH68TR9BxGTJ2TYQ&#10;GvjFCKticpXbzIWBNnjapkpwCMXMGqhT6jIpY1mjt3EWOiS+7UPvbeK1r6Tr7cDhvpULpbT0tiFu&#10;qG2HLzWWh+3RG/ha73++79R79ervuyGMSpJfSmNursfnJxAJx/Rnhgs+o0PBTLtwJBdFa2B6O2f0&#10;ZEBrnheD0g8axI6VpVqALHL5/4fiDAAA//8DAFBLAQItABQABgAIAAAAIQC2gziS/gAAAOEBAAAT&#10;AAAAAAAAAAAAAAAAAAAAAABbQ29udGVudF9UeXBlc10ueG1sUEsBAi0AFAAGAAgAAAAhADj9If/W&#10;AAAAlAEAAAsAAAAAAAAAAAAAAAAALwEAAF9yZWxzLy5yZWxzUEsBAi0AFAAGAAgAAAAhAOb0VsIO&#10;AgAA/AMAAA4AAAAAAAAAAAAAAAAALgIAAGRycy9lMm9Eb2MueG1sUEsBAi0AFAAGAAgAAAAhAIgP&#10;nvHfAAAACwEAAA8AAAAAAAAAAAAAAAAAaAQAAGRycy9kb3ducmV2LnhtbFBLBQYAAAAABAAEAPMA&#10;AAB0BQAAAAA=&#10;" filled="f" stroked="f">
                <v:textbox>
                  <w:txbxContent>
                    <w:p w14:paraId="52E0D1DE" w14:textId="5858F570" w:rsidR="009B3159" w:rsidRDefault="009B3159">
                      <w:r>
                        <w:rPr>
                          <w:noProof/>
                        </w:rPr>
                        <w:drawing>
                          <wp:inline distT="0" distB="0" distL="0" distR="0" wp14:anchorId="67CCA9F8" wp14:editId="68225B65">
                            <wp:extent cx="6862296" cy="3958814"/>
                            <wp:effectExtent l="0" t="0" r="1524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w10:wrap type="square"/>
              </v:shape>
            </w:pict>
          </mc:Fallback>
        </mc:AlternateContent>
      </w:r>
      <w:r w:rsidR="00D911D7" w:rsidRPr="00703EDE">
        <w:rPr>
          <w:rFonts w:cs="Times New Roman"/>
          <w:b/>
        </w:rPr>
        <w:t>Types and Percentage of Use of LCC Assessment Methods</w:t>
      </w:r>
    </w:p>
    <w:p w14:paraId="4794476C" w14:textId="522F3BC6" w:rsidR="00DA3C2D" w:rsidRPr="00440684" w:rsidRDefault="005615D7" w:rsidP="00DA3C2D">
      <w:pPr>
        <w:rPr>
          <w:rFonts w:cs="Times New Roman"/>
          <w:sz w:val="22"/>
          <w:szCs w:val="22"/>
        </w:rPr>
      </w:pPr>
      <w:r w:rsidRPr="00440684">
        <w:rPr>
          <w:rFonts w:cs="Times New Roman"/>
          <w:sz w:val="22"/>
          <w:szCs w:val="22"/>
        </w:rPr>
        <w:t xml:space="preserve">*Other assessment methods include: Presentations 3%; Clinical Evaluation 3%; Role Play/Group 2%; Case Study 2%; Jury 2%. </w:t>
      </w:r>
    </w:p>
    <w:p w14:paraId="10839B50" w14:textId="4F1E06AF" w:rsidR="005119A7" w:rsidRDefault="00844B91" w:rsidP="00844B91">
      <w:pPr>
        <w:jc w:val="center"/>
        <w:rPr>
          <w:rFonts w:cs="Times New Roman"/>
          <w:b/>
        </w:rPr>
      </w:pPr>
      <w:r w:rsidRPr="00844B91">
        <w:rPr>
          <w:rFonts w:cs="Times New Roman"/>
          <w:b/>
        </w:rPr>
        <w:t>Top Assessment Method</w:t>
      </w:r>
      <w:r w:rsidR="000E62A3">
        <w:rPr>
          <w:rFonts w:cs="Times New Roman"/>
          <w:b/>
        </w:rPr>
        <w:t>(s)</w:t>
      </w:r>
      <w:r w:rsidRPr="00844B91">
        <w:rPr>
          <w:rFonts w:cs="Times New Roman"/>
          <w:b/>
        </w:rPr>
        <w:t xml:space="preserve"> by Division</w:t>
      </w:r>
    </w:p>
    <w:tbl>
      <w:tblPr>
        <w:tblStyle w:val="TableGrid"/>
        <w:tblW w:w="0" w:type="auto"/>
        <w:tblInd w:w="558" w:type="dxa"/>
        <w:tblLook w:val="04A0" w:firstRow="1" w:lastRow="0" w:firstColumn="1" w:lastColumn="0" w:noHBand="0" w:noVBand="1"/>
      </w:tblPr>
      <w:tblGrid>
        <w:gridCol w:w="2874"/>
        <w:gridCol w:w="2886"/>
        <w:gridCol w:w="2790"/>
      </w:tblGrid>
      <w:tr w:rsidR="00440684" w14:paraId="5DC94A41" w14:textId="77777777" w:rsidTr="0095781F">
        <w:tc>
          <w:tcPr>
            <w:tcW w:w="2874" w:type="dxa"/>
            <w:shd w:val="clear" w:color="auto" w:fill="BFBFBF" w:themeFill="background1" w:themeFillShade="BF"/>
          </w:tcPr>
          <w:p w14:paraId="5D313E23" w14:textId="40149618" w:rsidR="00440684" w:rsidRDefault="00787A8F" w:rsidP="00844B91">
            <w:pPr>
              <w:jc w:val="center"/>
              <w:rPr>
                <w:rFonts w:cs="Times New Roman"/>
                <w:b/>
              </w:rPr>
            </w:pPr>
            <w:r>
              <w:rPr>
                <w:rFonts w:cs="Times New Roman"/>
                <w:b/>
              </w:rPr>
              <w:t xml:space="preserve">Arts &amp; Sciences </w:t>
            </w:r>
          </w:p>
        </w:tc>
        <w:tc>
          <w:tcPr>
            <w:tcW w:w="2886" w:type="dxa"/>
            <w:shd w:val="clear" w:color="auto" w:fill="BFBFBF" w:themeFill="background1" w:themeFillShade="BF"/>
          </w:tcPr>
          <w:p w14:paraId="45299EA1" w14:textId="0C6E4FF9" w:rsidR="00440684" w:rsidRDefault="00787A8F" w:rsidP="00844B91">
            <w:pPr>
              <w:jc w:val="center"/>
              <w:rPr>
                <w:rFonts w:cs="Times New Roman"/>
                <w:b/>
              </w:rPr>
            </w:pPr>
            <w:r>
              <w:rPr>
                <w:rFonts w:cs="Times New Roman"/>
                <w:b/>
              </w:rPr>
              <w:t>Technical Careers</w:t>
            </w:r>
          </w:p>
        </w:tc>
        <w:tc>
          <w:tcPr>
            <w:tcW w:w="2790" w:type="dxa"/>
            <w:shd w:val="clear" w:color="auto" w:fill="BFBFBF" w:themeFill="background1" w:themeFillShade="BF"/>
          </w:tcPr>
          <w:p w14:paraId="68B75F20" w14:textId="1A7A3A00" w:rsidR="00440684" w:rsidRDefault="00787A8F" w:rsidP="00844B91">
            <w:pPr>
              <w:jc w:val="center"/>
              <w:rPr>
                <w:rFonts w:cs="Times New Roman"/>
                <w:b/>
              </w:rPr>
            </w:pPr>
            <w:r>
              <w:rPr>
                <w:rFonts w:cs="Times New Roman"/>
                <w:b/>
              </w:rPr>
              <w:t>Health &amp; Human Services</w:t>
            </w:r>
          </w:p>
        </w:tc>
      </w:tr>
      <w:tr w:rsidR="00787A8F" w14:paraId="4091A444" w14:textId="77777777" w:rsidTr="00440684">
        <w:tc>
          <w:tcPr>
            <w:tcW w:w="2874" w:type="dxa"/>
          </w:tcPr>
          <w:p w14:paraId="0E329494" w14:textId="2A4E3399" w:rsidR="00787A8F" w:rsidRDefault="00787A8F" w:rsidP="00787A8F">
            <w:pPr>
              <w:rPr>
                <w:rFonts w:cs="Times New Roman"/>
                <w:b/>
              </w:rPr>
            </w:pPr>
            <w:r w:rsidRPr="00440684">
              <w:rPr>
                <w:rFonts w:cs="Times New Roman"/>
              </w:rPr>
              <w:t>Project</w:t>
            </w:r>
            <w:r>
              <w:rPr>
                <w:rFonts w:cs="Times New Roman"/>
                <w:b/>
              </w:rPr>
              <w:t xml:space="preserve"> (29%) </w:t>
            </w:r>
          </w:p>
        </w:tc>
        <w:tc>
          <w:tcPr>
            <w:tcW w:w="2886" w:type="dxa"/>
          </w:tcPr>
          <w:p w14:paraId="457AB9FF" w14:textId="67361BEB" w:rsidR="00787A8F" w:rsidRDefault="00787A8F" w:rsidP="00787A8F">
            <w:pPr>
              <w:rPr>
                <w:rFonts w:cs="Times New Roman"/>
                <w:b/>
              </w:rPr>
            </w:pPr>
            <w:r w:rsidRPr="00787A8F">
              <w:rPr>
                <w:rFonts w:cs="Times New Roman"/>
              </w:rPr>
              <w:t>Capstone</w:t>
            </w:r>
            <w:r>
              <w:rPr>
                <w:rFonts w:cs="Times New Roman"/>
                <w:b/>
              </w:rPr>
              <w:t xml:space="preserve"> (100%)</w:t>
            </w:r>
          </w:p>
        </w:tc>
        <w:tc>
          <w:tcPr>
            <w:tcW w:w="2790" w:type="dxa"/>
          </w:tcPr>
          <w:p w14:paraId="103E4960" w14:textId="50953823" w:rsidR="00787A8F" w:rsidRDefault="00787A8F" w:rsidP="00787A8F">
            <w:pPr>
              <w:rPr>
                <w:rFonts w:cs="Times New Roman"/>
                <w:b/>
              </w:rPr>
            </w:pPr>
            <w:r>
              <w:rPr>
                <w:rFonts w:cs="Times New Roman"/>
              </w:rPr>
              <w:t>Demonstration</w:t>
            </w:r>
            <w:r>
              <w:rPr>
                <w:rFonts w:cs="Times New Roman"/>
                <w:b/>
              </w:rPr>
              <w:t xml:space="preserve"> (40%) </w:t>
            </w:r>
          </w:p>
        </w:tc>
      </w:tr>
      <w:tr w:rsidR="00787A8F" w14:paraId="09B9762A" w14:textId="77777777" w:rsidTr="00440684">
        <w:tc>
          <w:tcPr>
            <w:tcW w:w="2874" w:type="dxa"/>
          </w:tcPr>
          <w:p w14:paraId="2E57ADFB" w14:textId="151E3A91" w:rsidR="00787A8F" w:rsidRDefault="00787A8F" w:rsidP="00787A8F">
            <w:pPr>
              <w:rPr>
                <w:rFonts w:cs="Times New Roman"/>
                <w:b/>
              </w:rPr>
            </w:pPr>
            <w:r w:rsidRPr="00440684">
              <w:rPr>
                <w:rFonts w:cs="Times New Roman"/>
              </w:rPr>
              <w:t>Exam/Quiz/Test</w:t>
            </w:r>
            <w:r>
              <w:rPr>
                <w:rFonts w:cs="Times New Roman"/>
                <w:b/>
              </w:rPr>
              <w:t xml:space="preserve"> (19%) </w:t>
            </w:r>
          </w:p>
        </w:tc>
        <w:tc>
          <w:tcPr>
            <w:tcW w:w="2886" w:type="dxa"/>
          </w:tcPr>
          <w:p w14:paraId="74BA3186" w14:textId="003F7795" w:rsidR="00787A8F" w:rsidRDefault="00787A8F" w:rsidP="00787A8F">
            <w:pPr>
              <w:rPr>
                <w:rFonts w:cs="Times New Roman"/>
                <w:b/>
              </w:rPr>
            </w:pPr>
          </w:p>
        </w:tc>
        <w:tc>
          <w:tcPr>
            <w:tcW w:w="2790" w:type="dxa"/>
          </w:tcPr>
          <w:p w14:paraId="260ADC7D" w14:textId="07977E92" w:rsidR="00787A8F" w:rsidRDefault="00787A8F" w:rsidP="00787A8F">
            <w:pPr>
              <w:rPr>
                <w:rFonts w:cs="Times New Roman"/>
                <w:b/>
              </w:rPr>
            </w:pPr>
            <w:r>
              <w:rPr>
                <w:rFonts w:cs="Times New Roman"/>
              </w:rPr>
              <w:t>Clinical Evaluation</w:t>
            </w:r>
            <w:r>
              <w:rPr>
                <w:rFonts w:cs="Times New Roman"/>
                <w:b/>
              </w:rPr>
              <w:t xml:space="preserve"> (19%) </w:t>
            </w:r>
          </w:p>
        </w:tc>
      </w:tr>
      <w:tr w:rsidR="00787A8F" w14:paraId="26CB1157" w14:textId="77777777" w:rsidTr="00440684">
        <w:tc>
          <w:tcPr>
            <w:tcW w:w="2874" w:type="dxa"/>
          </w:tcPr>
          <w:p w14:paraId="2AF6D910" w14:textId="43B9992D" w:rsidR="00787A8F" w:rsidRDefault="00787A8F" w:rsidP="00787A8F">
            <w:pPr>
              <w:rPr>
                <w:rFonts w:cs="Times New Roman"/>
                <w:b/>
              </w:rPr>
            </w:pPr>
            <w:r w:rsidRPr="00440684">
              <w:rPr>
                <w:rFonts w:cs="Times New Roman"/>
              </w:rPr>
              <w:t>Portfolio</w:t>
            </w:r>
            <w:r>
              <w:rPr>
                <w:rFonts w:cs="Times New Roman"/>
                <w:b/>
              </w:rPr>
              <w:t xml:space="preserve"> (9%)</w:t>
            </w:r>
          </w:p>
        </w:tc>
        <w:tc>
          <w:tcPr>
            <w:tcW w:w="2886" w:type="dxa"/>
          </w:tcPr>
          <w:p w14:paraId="5AF2104E" w14:textId="1DDB3A11" w:rsidR="00787A8F" w:rsidRDefault="00787A8F" w:rsidP="00787A8F">
            <w:pPr>
              <w:rPr>
                <w:rFonts w:cs="Times New Roman"/>
                <w:b/>
              </w:rPr>
            </w:pPr>
          </w:p>
        </w:tc>
        <w:tc>
          <w:tcPr>
            <w:tcW w:w="2790" w:type="dxa"/>
          </w:tcPr>
          <w:p w14:paraId="136863D8" w14:textId="59DF5113" w:rsidR="00787A8F" w:rsidRDefault="00787A8F" w:rsidP="00787A8F">
            <w:pPr>
              <w:rPr>
                <w:rFonts w:cs="Times New Roman"/>
                <w:b/>
              </w:rPr>
            </w:pPr>
            <w:r>
              <w:rPr>
                <w:rFonts w:cs="Times New Roman"/>
              </w:rPr>
              <w:t>Observation</w:t>
            </w:r>
            <w:r>
              <w:rPr>
                <w:rFonts w:cs="Times New Roman"/>
                <w:b/>
              </w:rPr>
              <w:t xml:space="preserve"> (9%)</w:t>
            </w:r>
          </w:p>
        </w:tc>
      </w:tr>
    </w:tbl>
    <w:p w14:paraId="6381E5EF" w14:textId="77777777" w:rsidR="000E62A3" w:rsidRDefault="000E62A3" w:rsidP="00844B91">
      <w:pPr>
        <w:jc w:val="center"/>
        <w:rPr>
          <w:rFonts w:cs="Times New Roman"/>
          <w:b/>
        </w:rPr>
      </w:pPr>
    </w:p>
    <w:p w14:paraId="27B08046" w14:textId="77777777" w:rsidR="000E62A3" w:rsidRDefault="000E62A3" w:rsidP="00844B91">
      <w:pPr>
        <w:jc w:val="center"/>
        <w:rPr>
          <w:rFonts w:cs="Times New Roman"/>
          <w:b/>
        </w:rPr>
      </w:pPr>
    </w:p>
    <w:p w14:paraId="3935C5D0" w14:textId="77777777" w:rsidR="000E62A3" w:rsidRDefault="000E62A3" w:rsidP="00844B91">
      <w:pPr>
        <w:jc w:val="center"/>
        <w:rPr>
          <w:rFonts w:cs="Times New Roman"/>
          <w:b/>
        </w:rPr>
      </w:pPr>
    </w:p>
    <w:p w14:paraId="1F8CEB29" w14:textId="64687335" w:rsidR="0075476B" w:rsidRDefault="0075476B" w:rsidP="004D0C86">
      <w:pPr>
        <w:rPr>
          <w:rFonts w:cs="Times New Roman"/>
          <w:i/>
        </w:rPr>
      </w:pPr>
      <w:r w:rsidRPr="00CB6FDD">
        <w:rPr>
          <w:rFonts w:cs="Times New Roman"/>
          <w:b/>
          <w:i/>
        </w:rPr>
        <w:lastRenderedPageBreak/>
        <w:t>Finding 7</w:t>
      </w:r>
      <w:r>
        <w:rPr>
          <w:rFonts w:cs="Times New Roman"/>
          <w:i/>
        </w:rPr>
        <w:t xml:space="preserve">: Over </w:t>
      </w:r>
      <w:r w:rsidR="00586007">
        <w:rPr>
          <w:rFonts w:cs="Times New Roman"/>
          <w:i/>
        </w:rPr>
        <w:t>three-quarters</w:t>
      </w:r>
      <w:r>
        <w:rPr>
          <w:rFonts w:cs="Times New Roman"/>
          <w:i/>
        </w:rPr>
        <w:t xml:space="preserve"> of assessment methods selected by </w:t>
      </w:r>
      <w:r w:rsidR="00586007">
        <w:rPr>
          <w:rFonts w:cs="Times New Roman"/>
          <w:i/>
        </w:rPr>
        <w:t xml:space="preserve">LCC </w:t>
      </w:r>
      <w:r>
        <w:rPr>
          <w:rFonts w:cs="Times New Roman"/>
          <w:i/>
        </w:rPr>
        <w:t xml:space="preserve">faculty are aligned to the Program of Study learning outcome statement. </w:t>
      </w:r>
    </w:p>
    <w:p w14:paraId="43DBB851" w14:textId="6F67BF9F" w:rsidR="00A57D41" w:rsidRPr="00947ECE" w:rsidRDefault="008B0BF6" w:rsidP="00A57D41">
      <w:pPr>
        <w:rPr>
          <w:rFonts w:cs="Times New Roman"/>
        </w:rPr>
      </w:pPr>
      <w:r>
        <w:rPr>
          <w:rFonts w:cs="Times New Roman"/>
        </w:rPr>
        <w:t>Most of the assessment methods selected by faculty are aligned to the learning</w:t>
      </w:r>
      <w:r w:rsidR="006B7072">
        <w:rPr>
          <w:rFonts w:cs="Times New Roman"/>
        </w:rPr>
        <w:t xml:space="preserve"> outcome statement. This may be interpreted as the </w:t>
      </w:r>
      <w:r w:rsidR="00A57D41">
        <w:rPr>
          <w:rFonts w:cs="Times New Roman"/>
        </w:rPr>
        <w:t xml:space="preserve">selected type of assessment is matched to the learning expectations of students. </w:t>
      </w:r>
      <w:r w:rsidR="00A57D41" w:rsidRPr="00947ECE">
        <w:rPr>
          <w:rFonts w:cs="Times New Roman"/>
        </w:rPr>
        <w:t>Research demonstrates when there is an alignment between the learning out</w:t>
      </w:r>
      <w:r w:rsidR="00A57D41">
        <w:rPr>
          <w:rFonts w:cs="Times New Roman"/>
        </w:rPr>
        <w:t xml:space="preserve">come and the assessment method, </w:t>
      </w:r>
      <w:r w:rsidR="00A57D41" w:rsidRPr="00947ECE">
        <w:rPr>
          <w:rFonts w:cs="Times New Roman"/>
        </w:rPr>
        <w:t>students show evidence of deeper learning and an increase in skill development. Likewise, when students perceive this alignment, they perceive their</w:t>
      </w:r>
      <w:r w:rsidR="00A57D41">
        <w:rPr>
          <w:rFonts w:cs="Times New Roman"/>
        </w:rPr>
        <w:t xml:space="preserve"> learning to be more authentic (Gulikers, et al., 2006). </w:t>
      </w:r>
    </w:p>
    <w:p w14:paraId="03318515" w14:textId="70AFF37D" w:rsidR="005119A7" w:rsidRDefault="006B7072" w:rsidP="004D0C86">
      <w:pPr>
        <w:rPr>
          <w:rFonts w:cs="Times New Roman"/>
          <w:i/>
        </w:rPr>
      </w:pPr>
      <w:r>
        <w:rPr>
          <w:rFonts w:cs="Times New Roman"/>
        </w:rPr>
        <w:t>E</w:t>
      </w:r>
      <w:r w:rsidR="008B0BF6" w:rsidRPr="00E82E4E">
        <w:rPr>
          <w:rFonts w:cs="Times New Roman"/>
        </w:rPr>
        <w:t xml:space="preserve">ach cognitive level and assessment type was analyzed to determine the match </w:t>
      </w:r>
      <w:r>
        <w:rPr>
          <w:rFonts w:cs="Times New Roman"/>
        </w:rPr>
        <w:t>rate</w:t>
      </w:r>
      <w:r w:rsidR="002A5B84">
        <w:rPr>
          <w:rFonts w:cs="Times New Roman"/>
        </w:rPr>
        <w:t>. The match rate is determined by analyzing</w:t>
      </w:r>
      <w:r>
        <w:rPr>
          <w:rFonts w:cs="Times New Roman"/>
        </w:rPr>
        <w:t xml:space="preserve"> the possible number of learning outcome statements divided by the number of aligned outcomes. </w:t>
      </w:r>
      <w:r w:rsidR="008B0BF6" w:rsidRPr="00E82E4E">
        <w:rPr>
          <w:rFonts w:cs="Times New Roman"/>
        </w:rPr>
        <w:t xml:space="preserve">The highest cognition level and highest assessment type was used in the analysis. </w:t>
      </w:r>
      <w:r w:rsidR="00A57D41">
        <w:rPr>
          <w:rFonts w:cs="Times New Roman"/>
        </w:rPr>
        <w:t xml:space="preserve">The following table shows the percentage of match by Division and for LCC total. </w:t>
      </w:r>
    </w:p>
    <w:p w14:paraId="1DCB38A5" w14:textId="3097121B" w:rsidR="005119A7" w:rsidRPr="00A57D41" w:rsidRDefault="00A57D41" w:rsidP="00A57D41">
      <w:pPr>
        <w:jc w:val="center"/>
        <w:rPr>
          <w:rFonts w:cs="Times New Roman"/>
          <w:b/>
        </w:rPr>
      </w:pPr>
      <w:r w:rsidRPr="00A57D41">
        <w:rPr>
          <w:rFonts w:cs="Times New Roman"/>
          <w:b/>
        </w:rPr>
        <w:t>Percentage of Match Between Assessment Method and Learning Outcome</w:t>
      </w:r>
    </w:p>
    <w:tbl>
      <w:tblPr>
        <w:tblStyle w:val="TableGrid"/>
        <w:tblW w:w="0" w:type="auto"/>
        <w:tblInd w:w="108" w:type="dxa"/>
        <w:tblLook w:val="04A0" w:firstRow="1" w:lastRow="0" w:firstColumn="1" w:lastColumn="0" w:noHBand="0" w:noVBand="1"/>
      </w:tblPr>
      <w:tblGrid>
        <w:gridCol w:w="2880"/>
        <w:gridCol w:w="2160"/>
        <w:gridCol w:w="2340"/>
        <w:gridCol w:w="2430"/>
      </w:tblGrid>
      <w:tr w:rsidR="00A57D41" w:rsidRPr="00E243A9" w14:paraId="5E423E47" w14:textId="77777777" w:rsidTr="00FC46E0">
        <w:tc>
          <w:tcPr>
            <w:tcW w:w="2880" w:type="dxa"/>
            <w:shd w:val="clear" w:color="auto" w:fill="F3F3F3"/>
          </w:tcPr>
          <w:p w14:paraId="46189688" w14:textId="77777777" w:rsidR="00A57D41" w:rsidRPr="00E243A9" w:rsidRDefault="00A57D41" w:rsidP="00A57D41">
            <w:pPr>
              <w:jc w:val="center"/>
              <w:rPr>
                <w:rFonts w:cs="Times New Roman"/>
                <w:b/>
              </w:rPr>
            </w:pPr>
          </w:p>
          <w:p w14:paraId="3853C143" w14:textId="77777777" w:rsidR="00A57D41" w:rsidRDefault="00A57D41" w:rsidP="00A57D41">
            <w:pPr>
              <w:jc w:val="center"/>
              <w:rPr>
                <w:rFonts w:cs="Times New Roman"/>
                <w:b/>
              </w:rPr>
            </w:pPr>
            <w:r w:rsidRPr="00E243A9">
              <w:rPr>
                <w:rFonts w:cs="Times New Roman"/>
                <w:b/>
              </w:rPr>
              <w:t>DIVISION</w:t>
            </w:r>
          </w:p>
          <w:p w14:paraId="002A09BA" w14:textId="77777777" w:rsidR="00A57D41" w:rsidRPr="00E243A9" w:rsidRDefault="00A57D41" w:rsidP="00A57D41">
            <w:pPr>
              <w:jc w:val="center"/>
              <w:rPr>
                <w:rFonts w:cs="Times New Roman"/>
                <w:b/>
              </w:rPr>
            </w:pPr>
          </w:p>
        </w:tc>
        <w:tc>
          <w:tcPr>
            <w:tcW w:w="2160" w:type="dxa"/>
            <w:tcBorders>
              <w:bottom w:val="single" w:sz="4" w:space="0" w:color="auto"/>
            </w:tcBorders>
            <w:shd w:val="clear" w:color="auto" w:fill="F3F3F3"/>
          </w:tcPr>
          <w:p w14:paraId="5C5B9787" w14:textId="7FE641DE" w:rsidR="00A57D41" w:rsidRPr="00E243A9" w:rsidRDefault="00A57D41" w:rsidP="00A57D41">
            <w:pPr>
              <w:jc w:val="center"/>
              <w:rPr>
                <w:rFonts w:cs="Times New Roman"/>
                <w:b/>
              </w:rPr>
            </w:pPr>
            <w:r>
              <w:rPr>
                <w:rFonts w:cs="Times New Roman"/>
                <w:b/>
              </w:rPr>
              <w:t>% Match</w:t>
            </w:r>
          </w:p>
        </w:tc>
        <w:tc>
          <w:tcPr>
            <w:tcW w:w="2340" w:type="dxa"/>
            <w:tcBorders>
              <w:bottom w:val="single" w:sz="4" w:space="0" w:color="auto"/>
            </w:tcBorders>
            <w:shd w:val="clear" w:color="auto" w:fill="F3F3F3"/>
          </w:tcPr>
          <w:p w14:paraId="40D0F700" w14:textId="3F79E526" w:rsidR="00A57D41" w:rsidRPr="00E243A9" w:rsidRDefault="00A57D41" w:rsidP="00A57D41">
            <w:pPr>
              <w:jc w:val="center"/>
              <w:rPr>
                <w:rFonts w:cs="Times New Roman"/>
                <w:b/>
              </w:rPr>
            </w:pPr>
            <w:r>
              <w:rPr>
                <w:rFonts w:cs="Times New Roman"/>
                <w:b/>
              </w:rPr>
              <w:t>% Not Matched</w:t>
            </w:r>
          </w:p>
        </w:tc>
        <w:tc>
          <w:tcPr>
            <w:tcW w:w="2430" w:type="dxa"/>
            <w:tcBorders>
              <w:bottom w:val="single" w:sz="4" w:space="0" w:color="auto"/>
            </w:tcBorders>
            <w:shd w:val="clear" w:color="auto" w:fill="E6E6E6"/>
          </w:tcPr>
          <w:p w14:paraId="2BA0967D" w14:textId="77777777" w:rsidR="00A57D41" w:rsidRPr="00E243A9" w:rsidRDefault="00A57D41" w:rsidP="00A57D41">
            <w:pPr>
              <w:jc w:val="center"/>
              <w:rPr>
                <w:rFonts w:cs="Times New Roman"/>
                <w:b/>
              </w:rPr>
            </w:pPr>
          </w:p>
          <w:p w14:paraId="4ABA0AEF" w14:textId="77777777" w:rsidR="00A57D41" w:rsidRPr="00E243A9" w:rsidRDefault="00A57D41" w:rsidP="00A57D41">
            <w:pPr>
              <w:jc w:val="center"/>
              <w:rPr>
                <w:rFonts w:cs="Times New Roman"/>
                <w:b/>
              </w:rPr>
            </w:pPr>
            <w:r w:rsidRPr="00E243A9">
              <w:rPr>
                <w:rFonts w:cs="Times New Roman"/>
                <w:b/>
              </w:rPr>
              <w:t>LCC Total</w:t>
            </w:r>
          </w:p>
        </w:tc>
      </w:tr>
      <w:tr w:rsidR="00A57D41" w:rsidRPr="00E243A9" w14:paraId="05AFF32F" w14:textId="77777777" w:rsidTr="00FC46E0">
        <w:tc>
          <w:tcPr>
            <w:tcW w:w="2880" w:type="dxa"/>
            <w:shd w:val="clear" w:color="auto" w:fill="auto"/>
          </w:tcPr>
          <w:p w14:paraId="2E5C0043" w14:textId="77777777" w:rsidR="00A57D41" w:rsidRDefault="00A57D41" w:rsidP="00A57D41">
            <w:pPr>
              <w:rPr>
                <w:rFonts w:cs="Times New Roman"/>
              </w:rPr>
            </w:pPr>
          </w:p>
          <w:p w14:paraId="1A82D558" w14:textId="77777777" w:rsidR="00A57D41" w:rsidRDefault="00A57D41" w:rsidP="00A57D41">
            <w:pPr>
              <w:rPr>
                <w:rFonts w:cs="Times New Roman"/>
              </w:rPr>
            </w:pPr>
            <w:r w:rsidRPr="00E243A9">
              <w:rPr>
                <w:rFonts w:cs="Times New Roman"/>
              </w:rPr>
              <w:t xml:space="preserve">Arts &amp; Sciences </w:t>
            </w:r>
          </w:p>
          <w:p w14:paraId="283F63FE" w14:textId="77777777" w:rsidR="00A57D41" w:rsidRPr="00E243A9" w:rsidRDefault="00A57D41" w:rsidP="00A57D41">
            <w:pPr>
              <w:rPr>
                <w:rFonts w:cs="Times New Roman"/>
              </w:rPr>
            </w:pPr>
          </w:p>
        </w:tc>
        <w:tc>
          <w:tcPr>
            <w:tcW w:w="2160" w:type="dxa"/>
            <w:tcBorders>
              <w:bottom w:val="single" w:sz="4" w:space="0" w:color="auto"/>
            </w:tcBorders>
            <w:shd w:val="clear" w:color="auto" w:fill="FFFF99"/>
          </w:tcPr>
          <w:p w14:paraId="4315A217" w14:textId="77777777" w:rsidR="00667441" w:rsidRDefault="00667441" w:rsidP="00A57D41">
            <w:pPr>
              <w:jc w:val="center"/>
              <w:rPr>
                <w:rFonts w:cs="Times New Roman"/>
              </w:rPr>
            </w:pPr>
          </w:p>
          <w:p w14:paraId="49E3985A" w14:textId="14DFDBC1" w:rsidR="00A57D41" w:rsidRPr="00EF7C3F" w:rsidRDefault="00586007" w:rsidP="00A57D41">
            <w:pPr>
              <w:jc w:val="center"/>
              <w:rPr>
                <w:rFonts w:cs="Times New Roman"/>
              </w:rPr>
            </w:pPr>
            <w:r>
              <w:rPr>
                <w:rFonts w:cs="Times New Roman"/>
              </w:rPr>
              <w:t>69%</w:t>
            </w:r>
            <w:r w:rsidR="00E36485">
              <w:rPr>
                <w:rFonts w:cs="Times New Roman"/>
              </w:rPr>
              <w:t xml:space="preserve"> (207/300)</w:t>
            </w:r>
          </w:p>
        </w:tc>
        <w:tc>
          <w:tcPr>
            <w:tcW w:w="2340" w:type="dxa"/>
            <w:tcBorders>
              <w:bottom w:val="single" w:sz="4" w:space="0" w:color="auto"/>
            </w:tcBorders>
            <w:shd w:val="clear" w:color="auto" w:fill="FFFF99"/>
          </w:tcPr>
          <w:p w14:paraId="2FF820CD" w14:textId="77777777" w:rsidR="00667441" w:rsidRDefault="00667441" w:rsidP="00A57D41">
            <w:pPr>
              <w:jc w:val="center"/>
              <w:rPr>
                <w:rFonts w:cs="Times New Roman"/>
              </w:rPr>
            </w:pPr>
          </w:p>
          <w:p w14:paraId="4E473C1D" w14:textId="407BFFFA" w:rsidR="00A57D41" w:rsidRPr="00E243A9" w:rsidRDefault="00E36485" w:rsidP="00A57D41">
            <w:pPr>
              <w:jc w:val="center"/>
              <w:rPr>
                <w:rFonts w:cs="Times New Roman"/>
              </w:rPr>
            </w:pPr>
            <w:r>
              <w:rPr>
                <w:rFonts w:cs="Times New Roman"/>
              </w:rPr>
              <w:t>31</w:t>
            </w:r>
            <w:r w:rsidR="00586007">
              <w:rPr>
                <w:rFonts w:cs="Times New Roman"/>
              </w:rPr>
              <w:t>%</w:t>
            </w:r>
            <w:r>
              <w:rPr>
                <w:rFonts w:cs="Times New Roman"/>
              </w:rPr>
              <w:t xml:space="preserve"> (93/300)</w:t>
            </w:r>
          </w:p>
        </w:tc>
        <w:tc>
          <w:tcPr>
            <w:tcW w:w="2430" w:type="dxa"/>
            <w:vMerge w:val="restart"/>
            <w:shd w:val="clear" w:color="auto" w:fill="FFFF99"/>
          </w:tcPr>
          <w:p w14:paraId="1DDA1228" w14:textId="77777777" w:rsidR="00A57D41" w:rsidRPr="00E243A9" w:rsidRDefault="00A57D41" w:rsidP="00A57D41">
            <w:pPr>
              <w:rPr>
                <w:rFonts w:cs="Times New Roman"/>
                <w:b/>
              </w:rPr>
            </w:pPr>
          </w:p>
          <w:p w14:paraId="51F75867" w14:textId="77777777" w:rsidR="00A57D41" w:rsidRDefault="00A57D41" w:rsidP="00A57D41">
            <w:pPr>
              <w:tabs>
                <w:tab w:val="left" w:pos="220"/>
                <w:tab w:val="center" w:pos="1161"/>
              </w:tabs>
              <w:rPr>
                <w:rFonts w:cs="Times New Roman"/>
                <w:b/>
              </w:rPr>
            </w:pPr>
            <w:r w:rsidRPr="00E243A9">
              <w:rPr>
                <w:rFonts w:cs="Times New Roman"/>
                <w:b/>
              </w:rPr>
              <w:tab/>
            </w:r>
            <w:r w:rsidRPr="00E243A9">
              <w:rPr>
                <w:rFonts w:cs="Times New Roman"/>
                <w:b/>
              </w:rPr>
              <w:tab/>
            </w:r>
          </w:p>
          <w:p w14:paraId="19075963" w14:textId="77777777" w:rsidR="00A57D41" w:rsidRDefault="00A57D41" w:rsidP="00A57D41">
            <w:pPr>
              <w:tabs>
                <w:tab w:val="left" w:pos="220"/>
                <w:tab w:val="center" w:pos="1161"/>
              </w:tabs>
              <w:rPr>
                <w:rFonts w:cs="Times New Roman"/>
                <w:b/>
              </w:rPr>
            </w:pPr>
          </w:p>
          <w:p w14:paraId="49FCE901" w14:textId="77777777" w:rsidR="00A57D41" w:rsidRDefault="00A57D41" w:rsidP="00A57D41">
            <w:pPr>
              <w:tabs>
                <w:tab w:val="left" w:pos="220"/>
                <w:tab w:val="center" w:pos="1161"/>
              </w:tabs>
              <w:rPr>
                <w:rFonts w:cs="Times New Roman"/>
                <w:b/>
              </w:rPr>
            </w:pPr>
          </w:p>
          <w:p w14:paraId="0683B47E" w14:textId="4B49EA9E" w:rsidR="00A57D41" w:rsidRPr="00E243A9" w:rsidRDefault="00586007" w:rsidP="00A57D41">
            <w:pPr>
              <w:tabs>
                <w:tab w:val="left" w:pos="220"/>
                <w:tab w:val="center" w:pos="1161"/>
              </w:tabs>
              <w:jc w:val="center"/>
              <w:rPr>
                <w:rFonts w:cs="Times New Roman"/>
              </w:rPr>
            </w:pPr>
            <w:r>
              <w:rPr>
                <w:rFonts w:cs="Times New Roman"/>
                <w:b/>
              </w:rPr>
              <w:t>76</w:t>
            </w:r>
            <w:r w:rsidR="00A57D41" w:rsidRPr="00E243A9">
              <w:rPr>
                <w:rFonts w:cs="Times New Roman"/>
                <w:b/>
              </w:rPr>
              <w:t>%</w:t>
            </w:r>
            <w:r>
              <w:rPr>
                <w:rFonts w:cs="Times New Roman"/>
              </w:rPr>
              <w:t xml:space="preserve"> (299</w:t>
            </w:r>
            <w:r w:rsidR="00A57D41">
              <w:rPr>
                <w:rFonts w:cs="Times New Roman"/>
              </w:rPr>
              <w:t>/395)</w:t>
            </w:r>
          </w:p>
        </w:tc>
      </w:tr>
      <w:tr w:rsidR="00A57D41" w:rsidRPr="00E243A9" w14:paraId="7E3D566A" w14:textId="77777777" w:rsidTr="00FC46E0">
        <w:tc>
          <w:tcPr>
            <w:tcW w:w="2880" w:type="dxa"/>
            <w:shd w:val="clear" w:color="auto" w:fill="auto"/>
          </w:tcPr>
          <w:p w14:paraId="4A110866" w14:textId="77777777" w:rsidR="00A57D41" w:rsidRDefault="00A57D41" w:rsidP="00A57D41">
            <w:pPr>
              <w:rPr>
                <w:rFonts w:cs="Times New Roman"/>
              </w:rPr>
            </w:pPr>
          </w:p>
          <w:p w14:paraId="0A7BFEFC" w14:textId="77777777" w:rsidR="00A57D41" w:rsidRDefault="00A57D41" w:rsidP="00A57D41">
            <w:pPr>
              <w:rPr>
                <w:rFonts w:cs="Times New Roman"/>
              </w:rPr>
            </w:pPr>
            <w:r w:rsidRPr="00E243A9">
              <w:rPr>
                <w:rFonts w:cs="Times New Roman"/>
              </w:rPr>
              <w:t>Technical Careers</w:t>
            </w:r>
          </w:p>
          <w:p w14:paraId="51F1B96D" w14:textId="77777777" w:rsidR="00A57D41" w:rsidRPr="00E243A9" w:rsidRDefault="00A57D41" w:rsidP="00A57D41">
            <w:pPr>
              <w:rPr>
                <w:rFonts w:cs="Times New Roman"/>
              </w:rPr>
            </w:pPr>
          </w:p>
        </w:tc>
        <w:tc>
          <w:tcPr>
            <w:tcW w:w="2160" w:type="dxa"/>
            <w:shd w:val="clear" w:color="auto" w:fill="99CC00"/>
          </w:tcPr>
          <w:p w14:paraId="099C7BFB" w14:textId="77777777" w:rsidR="00667441" w:rsidRDefault="00667441" w:rsidP="00A57D41">
            <w:pPr>
              <w:jc w:val="center"/>
              <w:rPr>
                <w:rFonts w:cs="Times New Roman"/>
              </w:rPr>
            </w:pPr>
          </w:p>
          <w:p w14:paraId="1D7589D6" w14:textId="283852BF" w:rsidR="00A57D41" w:rsidRPr="00E243A9" w:rsidRDefault="00D550D5" w:rsidP="00A57D41">
            <w:pPr>
              <w:jc w:val="center"/>
              <w:rPr>
                <w:rFonts w:cs="Times New Roman"/>
              </w:rPr>
            </w:pPr>
            <w:r>
              <w:rPr>
                <w:rFonts w:cs="Times New Roman"/>
              </w:rPr>
              <w:t>100% (32/32)</w:t>
            </w:r>
          </w:p>
        </w:tc>
        <w:tc>
          <w:tcPr>
            <w:tcW w:w="2340" w:type="dxa"/>
            <w:shd w:val="clear" w:color="auto" w:fill="99CC00"/>
          </w:tcPr>
          <w:p w14:paraId="5D0F2725" w14:textId="77777777" w:rsidR="00667441" w:rsidRDefault="00667441" w:rsidP="00A57D41">
            <w:pPr>
              <w:jc w:val="center"/>
              <w:rPr>
                <w:rFonts w:cs="Times New Roman"/>
              </w:rPr>
            </w:pPr>
          </w:p>
          <w:p w14:paraId="3F54A8E3" w14:textId="5769FD97" w:rsidR="00A57D41" w:rsidRPr="00E243A9" w:rsidRDefault="00D550D5" w:rsidP="00A57D41">
            <w:pPr>
              <w:jc w:val="center"/>
              <w:rPr>
                <w:rFonts w:cs="Times New Roman"/>
              </w:rPr>
            </w:pPr>
            <w:r>
              <w:rPr>
                <w:rFonts w:cs="Times New Roman"/>
              </w:rPr>
              <w:t>0% (0/0)</w:t>
            </w:r>
          </w:p>
        </w:tc>
        <w:tc>
          <w:tcPr>
            <w:tcW w:w="2430" w:type="dxa"/>
            <w:vMerge/>
            <w:shd w:val="clear" w:color="auto" w:fill="auto"/>
          </w:tcPr>
          <w:p w14:paraId="2DDFD00D" w14:textId="77777777" w:rsidR="00A57D41" w:rsidRPr="00E243A9" w:rsidRDefault="00A57D41" w:rsidP="00A57D41">
            <w:pPr>
              <w:rPr>
                <w:rFonts w:cs="Times New Roman"/>
              </w:rPr>
            </w:pPr>
          </w:p>
        </w:tc>
      </w:tr>
      <w:tr w:rsidR="00A57D41" w:rsidRPr="00E243A9" w14:paraId="3AD28815" w14:textId="77777777" w:rsidTr="00FC46E0">
        <w:tc>
          <w:tcPr>
            <w:tcW w:w="2880" w:type="dxa"/>
            <w:shd w:val="clear" w:color="auto" w:fill="auto"/>
          </w:tcPr>
          <w:p w14:paraId="12291C98" w14:textId="77777777" w:rsidR="00A57D41" w:rsidRDefault="00A57D41" w:rsidP="00A57D41">
            <w:pPr>
              <w:rPr>
                <w:rFonts w:cs="Times New Roman"/>
              </w:rPr>
            </w:pPr>
          </w:p>
          <w:p w14:paraId="4E3A9EE7" w14:textId="77777777" w:rsidR="00A57D41" w:rsidRDefault="00A57D41" w:rsidP="00A57D41">
            <w:pPr>
              <w:rPr>
                <w:rFonts w:cs="Times New Roman"/>
              </w:rPr>
            </w:pPr>
            <w:r w:rsidRPr="00E243A9">
              <w:rPr>
                <w:rFonts w:cs="Times New Roman"/>
              </w:rPr>
              <w:t>Health &amp; Human Services</w:t>
            </w:r>
          </w:p>
          <w:p w14:paraId="39EED9C9" w14:textId="77777777" w:rsidR="00A57D41" w:rsidRPr="00E243A9" w:rsidRDefault="00A57D41" w:rsidP="00A57D41">
            <w:pPr>
              <w:rPr>
                <w:rFonts w:cs="Times New Roman"/>
              </w:rPr>
            </w:pPr>
          </w:p>
        </w:tc>
        <w:tc>
          <w:tcPr>
            <w:tcW w:w="2160" w:type="dxa"/>
            <w:shd w:val="clear" w:color="auto" w:fill="99CC00"/>
          </w:tcPr>
          <w:p w14:paraId="534D08F3" w14:textId="77777777" w:rsidR="00667441" w:rsidRDefault="00667441" w:rsidP="00A57D41">
            <w:pPr>
              <w:jc w:val="center"/>
              <w:rPr>
                <w:rFonts w:cs="Times New Roman"/>
              </w:rPr>
            </w:pPr>
          </w:p>
          <w:p w14:paraId="1542F7FE" w14:textId="77846D50" w:rsidR="00D550D5" w:rsidRPr="00EF7C3F" w:rsidRDefault="00D550D5" w:rsidP="00A57D41">
            <w:pPr>
              <w:jc w:val="center"/>
              <w:rPr>
                <w:rFonts w:cs="Times New Roman"/>
              </w:rPr>
            </w:pPr>
            <w:r>
              <w:rPr>
                <w:rFonts w:cs="Times New Roman"/>
              </w:rPr>
              <w:t>95% (60/63)</w:t>
            </w:r>
          </w:p>
        </w:tc>
        <w:tc>
          <w:tcPr>
            <w:tcW w:w="2340" w:type="dxa"/>
            <w:shd w:val="clear" w:color="auto" w:fill="99CC00"/>
          </w:tcPr>
          <w:p w14:paraId="295DAC01" w14:textId="77777777" w:rsidR="00667441" w:rsidRDefault="00667441" w:rsidP="00A57D41">
            <w:pPr>
              <w:jc w:val="center"/>
              <w:rPr>
                <w:rFonts w:cs="Times New Roman"/>
              </w:rPr>
            </w:pPr>
          </w:p>
          <w:p w14:paraId="7183D185" w14:textId="13238ECE" w:rsidR="00D550D5" w:rsidRPr="00E243A9" w:rsidRDefault="00D550D5" w:rsidP="00A57D41">
            <w:pPr>
              <w:jc w:val="center"/>
              <w:rPr>
                <w:rFonts w:cs="Times New Roman"/>
              </w:rPr>
            </w:pPr>
            <w:r>
              <w:rPr>
                <w:rFonts w:cs="Times New Roman"/>
              </w:rPr>
              <w:t>5% (3/63)</w:t>
            </w:r>
          </w:p>
        </w:tc>
        <w:tc>
          <w:tcPr>
            <w:tcW w:w="2430" w:type="dxa"/>
            <w:vMerge/>
            <w:shd w:val="clear" w:color="auto" w:fill="auto"/>
          </w:tcPr>
          <w:p w14:paraId="6909DF90" w14:textId="77777777" w:rsidR="00A57D41" w:rsidRPr="00E243A9" w:rsidRDefault="00A57D41" w:rsidP="00A57D41">
            <w:pPr>
              <w:rPr>
                <w:rFonts w:cs="Times New Roman"/>
              </w:rPr>
            </w:pPr>
          </w:p>
        </w:tc>
      </w:tr>
    </w:tbl>
    <w:p w14:paraId="7A2F3217" w14:textId="77777777" w:rsidR="00A57D41" w:rsidRDefault="00A57D41" w:rsidP="004D0C86">
      <w:pPr>
        <w:rPr>
          <w:rFonts w:cs="Times New Roman"/>
          <w:i/>
        </w:rPr>
      </w:pPr>
    </w:p>
    <w:p w14:paraId="410FE258" w14:textId="77777777" w:rsidR="00B96F42" w:rsidRPr="00B96F42" w:rsidRDefault="00B96F42" w:rsidP="004D0C86">
      <w:pPr>
        <w:rPr>
          <w:rFonts w:cs="Times New Roman"/>
        </w:rPr>
      </w:pPr>
    </w:p>
    <w:p w14:paraId="4E56BDC2" w14:textId="77777777" w:rsidR="005119A7" w:rsidRDefault="005119A7" w:rsidP="004D0C86">
      <w:pPr>
        <w:rPr>
          <w:rFonts w:cs="Times New Roman"/>
          <w:i/>
        </w:rPr>
      </w:pPr>
    </w:p>
    <w:p w14:paraId="67055B13" w14:textId="77777777" w:rsidR="00AA0110" w:rsidRDefault="00AA0110" w:rsidP="004D0C86"/>
    <w:p w14:paraId="7481382A" w14:textId="77777777" w:rsidR="00B6403E" w:rsidRDefault="00B6403E" w:rsidP="004D0C86">
      <w:pPr>
        <w:rPr>
          <w:rFonts w:cs="Times New Roman"/>
          <w:i/>
          <w:sz w:val="22"/>
          <w:szCs w:val="22"/>
        </w:rPr>
      </w:pPr>
    </w:p>
    <w:p w14:paraId="4CC21B76" w14:textId="77777777" w:rsidR="00F67452" w:rsidRDefault="00F67452" w:rsidP="004D0C86">
      <w:pPr>
        <w:rPr>
          <w:rFonts w:cs="Times New Roman"/>
          <w:i/>
          <w:sz w:val="22"/>
          <w:szCs w:val="22"/>
        </w:rPr>
      </w:pPr>
    </w:p>
    <w:p w14:paraId="4DA44C2B" w14:textId="77777777" w:rsidR="00F67452" w:rsidRPr="003C2F23" w:rsidRDefault="00F67452" w:rsidP="004D0C86">
      <w:pPr>
        <w:rPr>
          <w:rFonts w:cs="Times New Roman"/>
          <w:i/>
          <w:sz w:val="22"/>
          <w:szCs w:val="22"/>
        </w:rPr>
      </w:pPr>
    </w:p>
    <w:p w14:paraId="4B3F7DED" w14:textId="77777777" w:rsidR="002C6005" w:rsidRPr="00332CAD" w:rsidRDefault="002C6005" w:rsidP="002C6005">
      <w:pPr>
        <w:pStyle w:val="Heading2"/>
        <w:rPr>
          <w:szCs w:val="24"/>
        </w:rPr>
      </w:pPr>
      <w:bookmarkStart w:id="6" w:name="_Toc445381108"/>
      <w:r w:rsidRPr="00332CAD">
        <w:rPr>
          <w:szCs w:val="24"/>
        </w:rPr>
        <w:lastRenderedPageBreak/>
        <w:t>Course-Level Assessment Results</w:t>
      </w:r>
      <w:bookmarkEnd w:id="6"/>
      <w:r w:rsidRPr="00332CAD">
        <w:rPr>
          <w:szCs w:val="24"/>
        </w:rPr>
        <w:t xml:space="preserve"> </w:t>
      </w:r>
    </w:p>
    <w:p w14:paraId="4A6649A6" w14:textId="77777777" w:rsidR="002C6005" w:rsidRDefault="002C6005" w:rsidP="002C6005">
      <w:pPr>
        <w:pStyle w:val="NoSpacing"/>
      </w:pPr>
    </w:p>
    <w:p w14:paraId="6085E04C" w14:textId="47246590" w:rsidR="00D73B57" w:rsidRDefault="00D73B57" w:rsidP="002C6005">
      <w:pPr>
        <w:pStyle w:val="NoSpacing"/>
        <w:rPr>
          <w:rFonts w:cs="Times New Roman"/>
          <w:i/>
        </w:rPr>
      </w:pPr>
      <w:r w:rsidRPr="00CB6FDD">
        <w:rPr>
          <w:rFonts w:cs="Times New Roman"/>
          <w:b/>
          <w:i/>
        </w:rPr>
        <w:t xml:space="preserve">Finding </w:t>
      </w:r>
      <w:r w:rsidR="00E143EF">
        <w:rPr>
          <w:rFonts w:cs="Times New Roman"/>
          <w:b/>
          <w:i/>
        </w:rPr>
        <w:t>8</w:t>
      </w:r>
      <w:r>
        <w:rPr>
          <w:rFonts w:cs="Times New Roman"/>
          <w:i/>
        </w:rPr>
        <w:t xml:space="preserve">: LCC </w:t>
      </w:r>
      <w:r w:rsidR="008852EB">
        <w:rPr>
          <w:rFonts w:cs="Times New Roman"/>
          <w:i/>
        </w:rPr>
        <w:t xml:space="preserve">students report frequent use of assessment practices by LCC faculty. </w:t>
      </w:r>
    </w:p>
    <w:p w14:paraId="2C7D25D4" w14:textId="77777777" w:rsidR="00D73B57" w:rsidRDefault="00D73B57" w:rsidP="002C6005">
      <w:pPr>
        <w:pStyle w:val="NoSpacing"/>
      </w:pPr>
    </w:p>
    <w:p w14:paraId="1F44F9F0" w14:textId="14FE0BE1" w:rsidR="00A1754C" w:rsidRDefault="00947ECE" w:rsidP="002C6005">
      <w:pPr>
        <w:pStyle w:val="NoSpacing"/>
      </w:pPr>
      <w:r>
        <w:t xml:space="preserve">Student perceptions of assessment may act as learning motivators. For example, formative assessment used in the classroom gives students timely performance feedback allowing for en-route correction, deeper learning, and increased </w:t>
      </w:r>
      <w:r w:rsidR="00E8656F">
        <w:t xml:space="preserve">skill development. Further, </w:t>
      </w:r>
      <w:r>
        <w:t>research demonstrates a relationship between student perceptions of assessment authenticity and learnin</w:t>
      </w:r>
      <w:r w:rsidR="00E8656F">
        <w:t>g outcomes, as</w:t>
      </w:r>
      <w:r w:rsidR="002A5B84">
        <w:t>,</w:t>
      </w:r>
      <w:r w:rsidR="00E8656F">
        <w:t xml:space="preserve"> for example,</w:t>
      </w:r>
      <w:r>
        <w:t xml:space="preserve"> students </w:t>
      </w:r>
      <w:r w:rsidR="002A5B84">
        <w:t xml:space="preserve">who </w:t>
      </w:r>
      <w:r>
        <w:t>perceive connections between the learning task, the learning context, and the assessment method</w:t>
      </w:r>
      <w:r w:rsidR="00995769">
        <w:t>,</w:t>
      </w:r>
      <w:r>
        <w:t xml:space="preserve"> </w:t>
      </w:r>
      <w:r w:rsidR="00E8656F">
        <w:t xml:space="preserve">achieve improved learning outcomes (Gulikers, et al., 2006). </w:t>
      </w:r>
    </w:p>
    <w:p w14:paraId="46966F7A" w14:textId="77777777" w:rsidR="00947ECE" w:rsidRDefault="00947ECE" w:rsidP="002C6005">
      <w:pPr>
        <w:pStyle w:val="NoSpacing"/>
      </w:pPr>
    </w:p>
    <w:p w14:paraId="20605093" w14:textId="1B306A06" w:rsidR="002C6005" w:rsidRDefault="0033372E" w:rsidP="0052741F">
      <w:pPr>
        <w:pStyle w:val="NoSpacing"/>
      </w:pPr>
      <w:r>
        <w:t xml:space="preserve">The following </w:t>
      </w:r>
      <w:r w:rsidR="001D705F">
        <w:t>chart</w:t>
      </w:r>
      <w:r>
        <w:t xml:space="preserve"> displays </w:t>
      </w:r>
      <w:r w:rsidR="001D705F">
        <w:t xml:space="preserve">means of student responses from a course questionnaire using a Likert scale </w:t>
      </w:r>
      <w:r w:rsidR="00CA44F4">
        <w:t xml:space="preserve">of (5) Almost Always (4) </w:t>
      </w:r>
      <w:r w:rsidR="008852EB">
        <w:t>Frequently</w:t>
      </w:r>
      <w:r w:rsidR="00CA44F4">
        <w:t xml:space="preserve"> (3) Sometimes (2) Occasionally (1) Hardly Ever. </w:t>
      </w:r>
    </w:p>
    <w:p w14:paraId="310B2568" w14:textId="77777777" w:rsidR="001E5DC9" w:rsidRDefault="001E5DC9" w:rsidP="0052741F">
      <w:pPr>
        <w:pStyle w:val="NoSpacing"/>
      </w:pPr>
    </w:p>
    <w:p w14:paraId="13A6DF33" w14:textId="7A1770CA" w:rsidR="001E5DC9" w:rsidRDefault="001E5DC9" w:rsidP="0052741F">
      <w:pPr>
        <w:pStyle w:val="NoSpacing"/>
      </w:pPr>
      <w:r>
        <w:rPr>
          <w:noProof/>
        </w:rPr>
        <w:drawing>
          <wp:inline distT="0" distB="0" distL="0" distR="0" wp14:anchorId="704EE2DA" wp14:editId="0FA8F08A">
            <wp:extent cx="6752492" cy="3789485"/>
            <wp:effectExtent l="0" t="0" r="10795" b="19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66E69A" w14:textId="77777777" w:rsidR="00394D2F" w:rsidRDefault="00394D2F" w:rsidP="0052741F">
      <w:pPr>
        <w:pStyle w:val="NoSpacing"/>
      </w:pPr>
    </w:p>
    <w:p w14:paraId="555873A1" w14:textId="77777777" w:rsidR="008852EB" w:rsidRDefault="008852EB" w:rsidP="008852EB">
      <w:pPr>
        <w:pStyle w:val="NoSpacing"/>
      </w:pPr>
      <w:bookmarkStart w:id="7" w:name="_Toc445381109"/>
    </w:p>
    <w:p w14:paraId="3D58D3FC" w14:textId="77777777" w:rsidR="008852EB" w:rsidRDefault="008852EB" w:rsidP="008852EB">
      <w:pPr>
        <w:pStyle w:val="NoSpacing"/>
      </w:pPr>
    </w:p>
    <w:p w14:paraId="30C64B05" w14:textId="77777777" w:rsidR="00C817B2" w:rsidRDefault="00C817B2" w:rsidP="008852EB">
      <w:pPr>
        <w:pStyle w:val="NoSpacing"/>
      </w:pPr>
    </w:p>
    <w:p w14:paraId="13C944FD" w14:textId="77777777" w:rsidR="008852EB" w:rsidRDefault="008852EB" w:rsidP="008852EB">
      <w:pPr>
        <w:pStyle w:val="NoSpacing"/>
      </w:pPr>
    </w:p>
    <w:p w14:paraId="35860AF8" w14:textId="54F44413" w:rsidR="004B24EC" w:rsidRDefault="005119A7" w:rsidP="00007364">
      <w:pPr>
        <w:pStyle w:val="Heading2"/>
      </w:pPr>
      <w:r>
        <w:lastRenderedPageBreak/>
        <w:t>Pilot Stud</w:t>
      </w:r>
      <w:r w:rsidR="001E4C4A">
        <w:t>ies Results</w:t>
      </w:r>
      <w:bookmarkEnd w:id="7"/>
    </w:p>
    <w:p w14:paraId="1DAB6F63" w14:textId="77777777" w:rsidR="00F66721" w:rsidRDefault="00F66721" w:rsidP="00F66721">
      <w:pPr>
        <w:pStyle w:val="NoSpacing"/>
      </w:pPr>
    </w:p>
    <w:p w14:paraId="6ABDD49B" w14:textId="789C6B20" w:rsidR="0051342D" w:rsidRDefault="00727E7C" w:rsidP="00007364">
      <w:r>
        <w:t xml:space="preserve">With evidence of what LCC students are expected to learn and the ways faculty go about assessing learning, the assessment </w:t>
      </w:r>
      <w:r w:rsidR="00857EEC">
        <w:t>plan</w:t>
      </w:r>
      <w:r>
        <w:t xml:space="preserve"> moved into the next phase of understanding how well LCC students are meeting </w:t>
      </w:r>
      <w:r w:rsidR="00AA0110">
        <w:t xml:space="preserve">these </w:t>
      </w:r>
      <w:r>
        <w:t>learnin</w:t>
      </w:r>
      <w:r w:rsidR="00E031F9">
        <w:t>g</w:t>
      </w:r>
      <w:r>
        <w:t xml:space="preserve"> expectations and how faculty go about using that understanding to improve student learning outcomes. </w:t>
      </w:r>
      <w:r w:rsidR="00090CCB">
        <w:t>Ten</w:t>
      </w:r>
      <w:r w:rsidR="008C29EC">
        <w:t xml:space="preserve"> Programs of Study </w:t>
      </w:r>
      <w:r w:rsidR="00090CCB">
        <w:t xml:space="preserve">are </w:t>
      </w:r>
      <w:r w:rsidR="008C29EC">
        <w:t>participat</w:t>
      </w:r>
      <w:r w:rsidR="00090CCB">
        <w:t xml:space="preserve">ing in pilot studies that began in the </w:t>
      </w:r>
      <w:r w:rsidR="008C29EC">
        <w:t>Sp</w:t>
      </w:r>
      <w:r w:rsidR="00090CCB">
        <w:t xml:space="preserve">ring, 2016 semester with </w:t>
      </w:r>
      <w:r w:rsidR="00C675BB">
        <w:t>intent</w:t>
      </w:r>
      <w:r w:rsidR="00090CCB">
        <w:t xml:space="preserve"> of planning, collecting, analyzing, interpreting, and using student learning evidence. </w:t>
      </w:r>
      <w:r w:rsidR="0051342D">
        <w:t xml:space="preserve">The participating Programs of Study, the learning evidence that is being collected, the data collection strategy, and results are noted in the table below. </w:t>
      </w:r>
    </w:p>
    <w:tbl>
      <w:tblPr>
        <w:tblStyle w:val="TableGrid"/>
        <w:tblW w:w="0" w:type="auto"/>
        <w:tblLook w:val="04A0" w:firstRow="1" w:lastRow="0" w:firstColumn="1" w:lastColumn="0" w:noHBand="0" w:noVBand="1"/>
      </w:tblPr>
      <w:tblGrid>
        <w:gridCol w:w="2529"/>
        <w:gridCol w:w="2510"/>
        <w:gridCol w:w="2524"/>
        <w:gridCol w:w="2507"/>
      </w:tblGrid>
      <w:tr w:rsidR="000B68D0" w14:paraId="4B42B22E" w14:textId="77777777" w:rsidTr="00A33FE9">
        <w:tc>
          <w:tcPr>
            <w:tcW w:w="2574" w:type="dxa"/>
            <w:tcBorders>
              <w:bottom w:val="single" w:sz="4" w:space="0" w:color="auto"/>
            </w:tcBorders>
            <w:shd w:val="clear" w:color="auto" w:fill="E6E6E6"/>
          </w:tcPr>
          <w:p w14:paraId="5F424AA1" w14:textId="6DB738E4" w:rsidR="000B68D0" w:rsidRPr="00A33FE9" w:rsidRDefault="000B68D0" w:rsidP="00A33FE9">
            <w:pPr>
              <w:jc w:val="center"/>
              <w:rPr>
                <w:b/>
              </w:rPr>
            </w:pPr>
            <w:r w:rsidRPr="00A33FE9">
              <w:rPr>
                <w:b/>
              </w:rPr>
              <w:t>Program of Study</w:t>
            </w:r>
          </w:p>
        </w:tc>
        <w:tc>
          <w:tcPr>
            <w:tcW w:w="2574" w:type="dxa"/>
            <w:shd w:val="clear" w:color="auto" w:fill="E6E6E6"/>
          </w:tcPr>
          <w:p w14:paraId="0D35E58C" w14:textId="290E7DDD" w:rsidR="000B68D0" w:rsidRPr="00A33FE9" w:rsidRDefault="000B68D0" w:rsidP="00A33FE9">
            <w:pPr>
              <w:jc w:val="center"/>
              <w:rPr>
                <w:b/>
              </w:rPr>
            </w:pPr>
            <w:r w:rsidRPr="00A33FE9">
              <w:rPr>
                <w:b/>
              </w:rPr>
              <w:t>Learning Evidence</w:t>
            </w:r>
          </w:p>
        </w:tc>
        <w:tc>
          <w:tcPr>
            <w:tcW w:w="2574" w:type="dxa"/>
            <w:shd w:val="clear" w:color="auto" w:fill="E6E6E6"/>
          </w:tcPr>
          <w:p w14:paraId="67B3E447" w14:textId="2BFF44A7" w:rsidR="000B68D0" w:rsidRPr="00A33FE9" w:rsidRDefault="000B68D0" w:rsidP="00A33FE9">
            <w:pPr>
              <w:jc w:val="center"/>
              <w:rPr>
                <w:b/>
              </w:rPr>
            </w:pPr>
            <w:r w:rsidRPr="00A33FE9">
              <w:rPr>
                <w:b/>
              </w:rPr>
              <w:t>Data Collection Strategy</w:t>
            </w:r>
          </w:p>
        </w:tc>
        <w:tc>
          <w:tcPr>
            <w:tcW w:w="2574" w:type="dxa"/>
            <w:shd w:val="clear" w:color="auto" w:fill="E6E6E6"/>
          </w:tcPr>
          <w:p w14:paraId="7B496F60" w14:textId="7AF98B70" w:rsidR="000B68D0" w:rsidRPr="00A33FE9" w:rsidRDefault="000B68D0" w:rsidP="00A33FE9">
            <w:pPr>
              <w:jc w:val="center"/>
              <w:rPr>
                <w:b/>
              </w:rPr>
            </w:pPr>
            <w:r w:rsidRPr="00A33FE9">
              <w:rPr>
                <w:b/>
              </w:rPr>
              <w:t>Results</w:t>
            </w:r>
          </w:p>
        </w:tc>
      </w:tr>
      <w:tr w:rsidR="000B68D0" w14:paraId="2F4875C1" w14:textId="77777777" w:rsidTr="00A33FE9">
        <w:tc>
          <w:tcPr>
            <w:tcW w:w="2574" w:type="dxa"/>
            <w:shd w:val="clear" w:color="auto" w:fill="F3F3F3"/>
          </w:tcPr>
          <w:p w14:paraId="58BA75BC" w14:textId="105BED50" w:rsidR="000B68D0" w:rsidRPr="00A33FE9" w:rsidRDefault="000B68D0" w:rsidP="00007364">
            <w:pPr>
              <w:rPr>
                <w:b/>
              </w:rPr>
            </w:pPr>
            <w:r w:rsidRPr="00A33FE9">
              <w:rPr>
                <w:b/>
              </w:rPr>
              <w:t xml:space="preserve">Biology </w:t>
            </w:r>
          </w:p>
        </w:tc>
        <w:tc>
          <w:tcPr>
            <w:tcW w:w="2574" w:type="dxa"/>
          </w:tcPr>
          <w:p w14:paraId="0443A423" w14:textId="718F8C26" w:rsidR="000B68D0" w:rsidRDefault="00103C68" w:rsidP="00934E17">
            <w:r>
              <w:t>Biology prog</w:t>
            </w:r>
            <w:r w:rsidR="00984EB9">
              <w:t>ram review follow-up meeting 4/1</w:t>
            </w:r>
            <w:r>
              <w:t xml:space="preserve">/16 w </w:t>
            </w:r>
            <w:r w:rsidR="00934E17">
              <w:t xml:space="preserve">Director of Institutional Research &amp; Director of Assessment </w:t>
            </w:r>
          </w:p>
        </w:tc>
        <w:tc>
          <w:tcPr>
            <w:tcW w:w="2574" w:type="dxa"/>
          </w:tcPr>
          <w:p w14:paraId="31FC8957" w14:textId="77777777" w:rsidR="000B68D0" w:rsidRDefault="000B68D0" w:rsidP="00007364"/>
        </w:tc>
        <w:tc>
          <w:tcPr>
            <w:tcW w:w="2574" w:type="dxa"/>
          </w:tcPr>
          <w:p w14:paraId="402D920B" w14:textId="77777777" w:rsidR="000B68D0" w:rsidRDefault="000B68D0" w:rsidP="00007364"/>
        </w:tc>
      </w:tr>
      <w:tr w:rsidR="000B68D0" w14:paraId="2322AD33" w14:textId="77777777" w:rsidTr="00A33FE9">
        <w:tc>
          <w:tcPr>
            <w:tcW w:w="2574" w:type="dxa"/>
            <w:shd w:val="clear" w:color="auto" w:fill="F3F3F3"/>
          </w:tcPr>
          <w:p w14:paraId="09DA4B14" w14:textId="31ABC425" w:rsidR="000B68D0" w:rsidRPr="00A33FE9" w:rsidRDefault="000B68D0" w:rsidP="00007364">
            <w:pPr>
              <w:rPr>
                <w:b/>
              </w:rPr>
            </w:pPr>
            <w:r w:rsidRPr="00A33FE9">
              <w:rPr>
                <w:b/>
              </w:rPr>
              <w:t xml:space="preserve">Center for Transitional Learning </w:t>
            </w:r>
          </w:p>
        </w:tc>
        <w:tc>
          <w:tcPr>
            <w:tcW w:w="2574" w:type="dxa"/>
          </w:tcPr>
          <w:p w14:paraId="167EE934" w14:textId="01A5475C" w:rsidR="000B68D0" w:rsidRDefault="00103C68" w:rsidP="00934E17">
            <w:r>
              <w:t xml:space="preserve">Assessment study workshops starting 3/15/16 w </w:t>
            </w:r>
            <w:r w:rsidR="00934E17">
              <w:t xml:space="preserve">Director of Assessment &amp; Data Scientist </w:t>
            </w:r>
          </w:p>
        </w:tc>
        <w:tc>
          <w:tcPr>
            <w:tcW w:w="2574" w:type="dxa"/>
          </w:tcPr>
          <w:p w14:paraId="1DC52671" w14:textId="77777777" w:rsidR="000B68D0" w:rsidRDefault="000B68D0" w:rsidP="00007364"/>
        </w:tc>
        <w:tc>
          <w:tcPr>
            <w:tcW w:w="2574" w:type="dxa"/>
          </w:tcPr>
          <w:p w14:paraId="2F607985" w14:textId="77777777" w:rsidR="000B68D0" w:rsidRDefault="000B68D0" w:rsidP="00007364"/>
        </w:tc>
      </w:tr>
      <w:tr w:rsidR="000B68D0" w14:paraId="6388C7F6" w14:textId="77777777" w:rsidTr="00A33FE9">
        <w:tc>
          <w:tcPr>
            <w:tcW w:w="2574" w:type="dxa"/>
            <w:shd w:val="clear" w:color="auto" w:fill="F3F3F3"/>
          </w:tcPr>
          <w:p w14:paraId="045B34C1" w14:textId="25908E1E" w:rsidR="000B68D0" w:rsidRPr="00A33FE9" w:rsidRDefault="000B68D0" w:rsidP="00007364">
            <w:pPr>
              <w:rPr>
                <w:b/>
              </w:rPr>
            </w:pPr>
            <w:r w:rsidRPr="00A33FE9">
              <w:rPr>
                <w:b/>
              </w:rPr>
              <w:t xml:space="preserve">Community Health Service Education </w:t>
            </w:r>
          </w:p>
        </w:tc>
        <w:tc>
          <w:tcPr>
            <w:tcW w:w="2574" w:type="dxa"/>
          </w:tcPr>
          <w:p w14:paraId="3A037E92" w14:textId="038572BC" w:rsidR="000B68D0" w:rsidRDefault="00C06651" w:rsidP="00007364">
            <w:r>
              <w:t>Program Review, Spring, 2016</w:t>
            </w:r>
          </w:p>
        </w:tc>
        <w:tc>
          <w:tcPr>
            <w:tcW w:w="2574" w:type="dxa"/>
          </w:tcPr>
          <w:p w14:paraId="331B7231" w14:textId="77777777" w:rsidR="000B68D0" w:rsidRDefault="000B68D0" w:rsidP="00007364"/>
        </w:tc>
        <w:tc>
          <w:tcPr>
            <w:tcW w:w="2574" w:type="dxa"/>
          </w:tcPr>
          <w:p w14:paraId="3EF8A2C2" w14:textId="77777777" w:rsidR="000B68D0" w:rsidRDefault="000B68D0" w:rsidP="00007364"/>
        </w:tc>
      </w:tr>
      <w:tr w:rsidR="0072581D" w14:paraId="097C89AE" w14:textId="77777777" w:rsidTr="00A33FE9">
        <w:tc>
          <w:tcPr>
            <w:tcW w:w="2574" w:type="dxa"/>
            <w:tcBorders>
              <w:bottom w:val="single" w:sz="4" w:space="0" w:color="auto"/>
            </w:tcBorders>
            <w:shd w:val="clear" w:color="auto" w:fill="F3F3F3"/>
          </w:tcPr>
          <w:p w14:paraId="116C2041" w14:textId="35A8E419" w:rsidR="0072581D" w:rsidRPr="00A33FE9" w:rsidRDefault="0072581D" w:rsidP="00007364">
            <w:pPr>
              <w:rPr>
                <w:b/>
              </w:rPr>
            </w:pPr>
            <w:r w:rsidRPr="00A33FE9">
              <w:rPr>
                <w:b/>
              </w:rPr>
              <w:t xml:space="preserve">Fashion </w:t>
            </w:r>
          </w:p>
        </w:tc>
        <w:tc>
          <w:tcPr>
            <w:tcW w:w="2574" w:type="dxa"/>
          </w:tcPr>
          <w:p w14:paraId="7C1E2910" w14:textId="13C16FF0" w:rsidR="0072581D" w:rsidRDefault="0072581D" w:rsidP="00E031F9">
            <w:r>
              <w:t xml:space="preserve">The ability to sketch is a critical skill that is applied throughout the Fashion Studies curriculum. Fashion faculty note if a student struggles with this skill early in the program, the deficit compounds as the student progresses through the curriculum.  </w:t>
            </w:r>
          </w:p>
        </w:tc>
        <w:tc>
          <w:tcPr>
            <w:tcW w:w="2574" w:type="dxa"/>
          </w:tcPr>
          <w:p w14:paraId="2C1A47A5" w14:textId="3CAF4F8A" w:rsidR="00F66721" w:rsidRDefault="0072581D" w:rsidP="0072581D">
            <w:r>
              <w:t>A data collection worksheet was developed collaboratively with Fashion faculty to develop outcomes, units of measurement, data collection strategy, use of data, and management &amp; communication.</w:t>
            </w:r>
            <w:r w:rsidR="00103C68">
              <w:t xml:space="preserve"> Faculty have set a schedule of submitting results at mid-term &amp; finals week to one faculty member who is coordinating Fashion’s data collection efforts.</w:t>
            </w:r>
          </w:p>
        </w:tc>
        <w:tc>
          <w:tcPr>
            <w:tcW w:w="2574" w:type="dxa"/>
          </w:tcPr>
          <w:p w14:paraId="073B5019" w14:textId="200BE53A" w:rsidR="0072581D" w:rsidRDefault="0072581D" w:rsidP="00103C68">
            <w:r>
              <w:t>Course Level results will be submitted at the end of</w:t>
            </w:r>
            <w:r w:rsidR="006A6C95">
              <w:t xml:space="preserve"> the Spring, 2016 semester by </w:t>
            </w:r>
            <w:r w:rsidR="00103C68">
              <w:t xml:space="preserve">faculty data collection coordinator. </w:t>
            </w:r>
            <w:r w:rsidR="006A6C95">
              <w:t xml:space="preserve"> </w:t>
            </w:r>
          </w:p>
        </w:tc>
      </w:tr>
      <w:tr w:rsidR="0072581D" w14:paraId="7FA6AB80" w14:textId="77777777" w:rsidTr="00A33FE9">
        <w:tc>
          <w:tcPr>
            <w:tcW w:w="2574" w:type="dxa"/>
            <w:shd w:val="clear" w:color="auto" w:fill="F3F3F3"/>
          </w:tcPr>
          <w:p w14:paraId="09BA8D57" w14:textId="2B436CB3" w:rsidR="0072581D" w:rsidRPr="001603D3" w:rsidRDefault="0072581D" w:rsidP="00007364">
            <w:pPr>
              <w:rPr>
                <w:b/>
              </w:rPr>
            </w:pPr>
            <w:r w:rsidRPr="001603D3">
              <w:rPr>
                <w:b/>
              </w:rPr>
              <w:lastRenderedPageBreak/>
              <w:t xml:space="preserve">History </w:t>
            </w:r>
          </w:p>
        </w:tc>
        <w:tc>
          <w:tcPr>
            <w:tcW w:w="2574" w:type="dxa"/>
          </w:tcPr>
          <w:p w14:paraId="54CCEDC3" w14:textId="4C28EFCD" w:rsidR="0072581D" w:rsidRDefault="0072581D" w:rsidP="00EE576F">
            <w:r>
              <w:t xml:space="preserve">Faculty is creating opportunities to increase faculty participation in implementing discipline-specific teaching best practices in the classroom. Faculty host regular Best Practice Workshops &amp; are measuring the effectiveness across course, program, &amp; institutional levels. </w:t>
            </w:r>
          </w:p>
        </w:tc>
        <w:tc>
          <w:tcPr>
            <w:tcW w:w="2574" w:type="dxa"/>
          </w:tcPr>
          <w:p w14:paraId="54CA43A8" w14:textId="532368B3" w:rsidR="0072581D" w:rsidRDefault="0072581D" w:rsidP="00007364">
            <w:r>
              <w:t>A data collection worksheet was developed collaboratively with History faculty to develop outcomes, units of measurement, data collection strategy, use of data, and management &amp; communication.</w:t>
            </w:r>
          </w:p>
        </w:tc>
        <w:tc>
          <w:tcPr>
            <w:tcW w:w="2574" w:type="dxa"/>
          </w:tcPr>
          <w:p w14:paraId="58832FD5" w14:textId="2E48B19E" w:rsidR="0072581D" w:rsidRDefault="0072581D" w:rsidP="00007364">
            <w:r>
              <w:t xml:space="preserve">Course Level results will be submitted at the end of </w:t>
            </w:r>
            <w:r w:rsidR="00934E17">
              <w:t>the Spring, 2016 semester by Program Faculty Chair</w:t>
            </w:r>
          </w:p>
          <w:p w14:paraId="3BCEE6AE" w14:textId="77777777" w:rsidR="00A33FE9" w:rsidRDefault="00A33FE9" w:rsidP="00A33FE9">
            <w:r>
              <w:t>Program Level: Fall, 2017</w:t>
            </w:r>
          </w:p>
          <w:p w14:paraId="6E925A7F" w14:textId="0B74750F" w:rsidR="00A33FE9" w:rsidRDefault="00A33FE9" w:rsidP="00A33FE9">
            <w:r>
              <w:t>Institutional Level: Spring, 2018</w:t>
            </w:r>
          </w:p>
        </w:tc>
      </w:tr>
      <w:tr w:rsidR="0072581D" w14:paraId="4485C3A5" w14:textId="77777777" w:rsidTr="00A33FE9">
        <w:tc>
          <w:tcPr>
            <w:tcW w:w="2574" w:type="dxa"/>
            <w:shd w:val="clear" w:color="auto" w:fill="F3F3F3"/>
          </w:tcPr>
          <w:p w14:paraId="380E46F6" w14:textId="54ADCBCB" w:rsidR="0072581D" w:rsidRPr="00E3202E" w:rsidRDefault="0072581D" w:rsidP="00007364">
            <w:pPr>
              <w:rPr>
                <w:b/>
              </w:rPr>
            </w:pPr>
            <w:r w:rsidRPr="00E3202E">
              <w:rPr>
                <w:b/>
              </w:rPr>
              <w:t xml:space="preserve">Rad Tech </w:t>
            </w:r>
          </w:p>
        </w:tc>
        <w:tc>
          <w:tcPr>
            <w:tcW w:w="2574" w:type="dxa"/>
          </w:tcPr>
          <w:p w14:paraId="16C50FC8" w14:textId="3E9C92BA" w:rsidR="0072581D" w:rsidRDefault="00B061AB" w:rsidP="00007364">
            <w:r>
              <w:t>While graduates of the Rad Tech program consistently pass certification exams, the faculty recognized trend data showing a decline in annual pass rates, and that may affect future 5-year pass rates.</w:t>
            </w:r>
          </w:p>
        </w:tc>
        <w:tc>
          <w:tcPr>
            <w:tcW w:w="2574" w:type="dxa"/>
          </w:tcPr>
          <w:p w14:paraId="20FB18EA" w14:textId="02CCE6BC" w:rsidR="0072581D" w:rsidRDefault="00AF1EEA" w:rsidP="00AF1EEA">
            <w:r>
              <w:t>A data collection worksheet was developed collaboratively with Rad Tech faculty to develop outcomes, units of measurement, data collection strategy, use of data, and management &amp; communication.</w:t>
            </w:r>
          </w:p>
        </w:tc>
        <w:tc>
          <w:tcPr>
            <w:tcW w:w="2574" w:type="dxa"/>
          </w:tcPr>
          <w:p w14:paraId="0DBB7DBE" w14:textId="77777777" w:rsidR="0072581D" w:rsidRDefault="00FD0786" w:rsidP="00FD0786">
            <w:r>
              <w:t xml:space="preserve">Course Level results will be submitted at the end of the Spring, 2016 semester by a faculty data collection coordinator. </w:t>
            </w:r>
          </w:p>
          <w:p w14:paraId="6CD3ABD3" w14:textId="77777777" w:rsidR="00A33FE9" w:rsidRDefault="00A33FE9" w:rsidP="00A33FE9">
            <w:r>
              <w:t>Program Level: Fall, 2017</w:t>
            </w:r>
          </w:p>
          <w:p w14:paraId="5BF797C2" w14:textId="0F73BAA3" w:rsidR="00A33FE9" w:rsidRDefault="00A33FE9" w:rsidP="00A33FE9">
            <w:r>
              <w:t>Institutional Level: Spring, 2018</w:t>
            </w:r>
          </w:p>
        </w:tc>
      </w:tr>
      <w:tr w:rsidR="0072581D" w14:paraId="3A102894" w14:textId="77777777" w:rsidTr="00A33FE9">
        <w:tc>
          <w:tcPr>
            <w:tcW w:w="2574" w:type="dxa"/>
            <w:shd w:val="clear" w:color="auto" w:fill="F3F3F3"/>
          </w:tcPr>
          <w:p w14:paraId="5AAF666F" w14:textId="2A701080" w:rsidR="0072581D" w:rsidRPr="00E3202E" w:rsidRDefault="0072581D" w:rsidP="00007364">
            <w:pPr>
              <w:rPr>
                <w:b/>
              </w:rPr>
            </w:pPr>
            <w:r w:rsidRPr="00E3202E">
              <w:rPr>
                <w:b/>
              </w:rPr>
              <w:t>Real Estate</w:t>
            </w:r>
          </w:p>
        </w:tc>
        <w:tc>
          <w:tcPr>
            <w:tcW w:w="2574" w:type="dxa"/>
          </w:tcPr>
          <w:p w14:paraId="15F993D5" w14:textId="527713FD" w:rsidR="0072581D" w:rsidRDefault="000A5E88" w:rsidP="00007364">
            <w:r>
              <w:t xml:space="preserve">BUSN/Real Estate program review follow-up meeting 3/11/16 w </w:t>
            </w:r>
            <w:r w:rsidR="00934E17">
              <w:t>Director of Institutional Research &amp; Director of Assessment</w:t>
            </w:r>
          </w:p>
        </w:tc>
        <w:tc>
          <w:tcPr>
            <w:tcW w:w="2574" w:type="dxa"/>
          </w:tcPr>
          <w:p w14:paraId="22A90E40" w14:textId="77777777" w:rsidR="0072581D" w:rsidRDefault="0072581D" w:rsidP="00007364"/>
        </w:tc>
        <w:tc>
          <w:tcPr>
            <w:tcW w:w="2574" w:type="dxa"/>
          </w:tcPr>
          <w:p w14:paraId="4A9465BF" w14:textId="77777777" w:rsidR="0072581D" w:rsidRDefault="0072581D" w:rsidP="00007364"/>
        </w:tc>
      </w:tr>
      <w:tr w:rsidR="0072581D" w14:paraId="31F7E4C2" w14:textId="77777777" w:rsidTr="00A33FE9">
        <w:tc>
          <w:tcPr>
            <w:tcW w:w="2574" w:type="dxa"/>
            <w:shd w:val="clear" w:color="auto" w:fill="F3F3F3"/>
          </w:tcPr>
          <w:p w14:paraId="18F18797" w14:textId="2835CB9A" w:rsidR="0072581D" w:rsidRPr="00E3202E" w:rsidRDefault="0072581D" w:rsidP="00007364">
            <w:pPr>
              <w:rPr>
                <w:b/>
              </w:rPr>
            </w:pPr>
            <w:r w:rsidRPr="00E3202E">
              <w:rPr>
                <w:b/>
              </w:rPr>
              <w:t xml:space="preserve">Speech </w:t>
            </w:r>
          </w:p>
        </w:tc>
        <w:tc>
          <w:tcPr>
            <w:tcW w:w="2574" w:type="dxa"/>
          </w:tcPr>
          <w:p w14:paraId="04EB6CD2" w14:textId="5A1FE449" w:rsidR="0072581D" w:rsidRDefault="00934E17" w:rsidP="00007364">
            <w:r>
              <w:t>Director of Assessment</w:t>
            </w:r>
            <w:r w:rsidR="00B65422">
              <w:t xml:space="preserve"> and Speech faculty member coordinated to derive context-specific assessment success case </w:t>
            </w:r>
          </w:p>
        </w:tc>
        <w:tc>
          <w:tcPr>
            <w:tcW w:w="2574" w:type="dxa"/>
          </w:tcPr>
          <w:p w14:paraId="56BA7A45" w14:textId="33460341" w:rsidR="0072581D" w:rsidRDefault="00B65422" w:rsidP="00007364">
            <w:r>
              <w:t xml:space="preserve">Interviews with Speech faculty member and data coordinator to learn data collection strategies, systems, and processes </w:t>
            </w:r>
          </w:p>
        </w:tc>
        <w:tc>
          <w:tcPr>
            <w:tcW w:w="2574" w:type="dxa"/>
          </w:tcPr>
          <w:p w14:paraId="4AF19BEE" w14:textId="1DF1AC45" w:rsidR="0072581D" w:rsidRDefault="00B65422" w:rsidP="00007364">
            <w:r>
              <w:t>Course Level results will be submitted at the end of the Spring, 2016 semester by a faculty data collection coordinator.</w:t>
            </w:r>
          </w:p>
        </w:tc>
      </w:tr>
      <w:tr w:rsidR="0072581D" w14:paraId="2F60047E" w14:textId="77777777" w:rsidTr="00A33FE9">
        <w:tc>
          <w:tcPr>
            <w:tcW w:w="2574" w:type="dxa"/>
            <w:shd w:val="clear" w:color="auto" w:fill="F3F3F3"/>
          </w:tcPr>
          <w:p w14:paraId="0E0FC484" w14:textId="32D0A944" w:rsidR="0072581D" w:rsidRPr="00E3202E" w:rsidRDefault="0072581D" w:rsidP="00007364">
            <w:pPr>
              <w:rPr>
                <w:b/>
              </w:rPr>
            </w:pPr>
            <w:r w:rsidRPr="00E3202E">
              <w:rPr>
                <w:b/>
              </w:rPr>
              <w:t xml:space="preserve">Surg Tech </w:t>
            </w:r>
          </w:p>
        </w:tc>
        <w:tc>
          <w:tcPr>
            <w:tcW w:w="2574" w:type="dxa"/>
          </w:tcPr>
          <w:p w14:paraId="0DF2ADDC" w14:textId="7FD5B7E6" w:rsidR="00F66721" w:rsidRDefault="001603D3" w:rsidP="00007364">
            <w:r>
              <w:t xml:space="preserve">The diversity of the program applicants is a concern of the Surg Tech faculty member. He requested support in outreach efforts to </w:t>
            </w:r>
            <w:r>
              <w:lastRenderedPageBreak/>
              <w:t xml:space="preserve">reach diverse student populations as potential candidates to the program of study. </w:t>
            </w:r>
          </w:p>
        </w:tc>
        <w:tc>
          <w:tcPr>
            <w:tcW w:w="2574" w:type="dxa"/>
          </w:tcPr>
          <w:p w14:paraId="3204835A" w14:textId="58D91675" w:rsidR="0072581D" w:rsidRDefault="001603D3" w:rsidP="00007364">
            <w:r>
              <w:lastRenderedPageBreak/>
              <w:t xml:space="preserve">The Surg Tech faculty member assembled a support team to address outreach to diverse student populations </w:t>
            </w:r>
          </w:p>
        </w:tc>
        <w:tc>
          <w:tcPr>
            <w:tcW w:w="2574" w:type="dxa"/>
          </w:tcPr>
          <w:p w14:paraId="722FD089" w14:textId="1B3F746D" w:rsidR="0072581D" w:rsidRDefault="001603D3" w:rsidP="00007364">
            <w:r>
              <w:t xml:space="preserve">Surg Tech faculty member will collaborate with CDS to develop measurement &amp; data </w:t>
            </w:r>
            <w:r>
              <w:lastRenderedPageBreak/>
              <w:t>collection strategies, Spring-Fall, 2016</w:t>
            </w:r>
          </w:p>
        </w:tc>
      </w:tr>
      <w:tr w:rsidR="0072581D" w14:paraId="4DEFE638" w14:textId="77777777" w:rsidTr="00A33FE9">
        <w:tc>
          <w:tcPr>
            <w:tcW w:w="2574" w:type="dxa"/>
            <w:shd w:val="clear" w:color="auto" w:fill="F3F3F3"/>
          </w:tcPr>
          <w:p w14:paraId="11991ED5" w14:textId="09FA52C6" w:rsidR="0072581D" w:rsidRPr="00E3202E" w:rsidRDefault="0072581D" w:rsidP="00007364">
            <w:pPr>
              <w:rPr>
                <w:b/>
              </w:rPr>
            </w:pPr>
            <w:r w:rsidRPr="00E3202E">
              <w:rPr>
                <w:b/>
              </w:rPr>
              <w:lastRenderedPageBreak/>
              <w:t xml:space="preserve">Writing/English </w:t>
            </w:r>
          </w:p>
        </w:tc>
        <w:tc>
          <w:tcPr>
            <w:tcW w:w="2574" w:type="dxa"/>
          </w:tcPr>
          <w:p w14:paraId="3C4913D9" w14:textId="652A4051" w:rsidR="002B3DE6" w:rsidRDefault="000A5E88" w:rsidP="000A5E88">
            <w:r>
              <w:t>WRIT/ENGL faculty engaged in pilot studies to test assessment methods. The faculty are now working to identify the method most appropriate with taking these lessons learned and using a collaborative decision appro</w:t>
            </w:r>
            <w:r w:rsidR="002B3DE6">
              <w:t xml:space="preserve">ach </w:t>
            </w:r>
          </w:p>
          <w:p w14:paraId="2C8F4290" w14:textId="0A1F149E" w:rsidR="002B3DE6" w:rsidRDefault="00934E17" w:rsidP="000A5E88">
            <w:r>
              <w:t xml:space="preserve">Data Ambassador Meetings: 3/2 &amp; </w:t>
            </w:r>
            <w:r w:rsidR="002B3DE6">
              <w:t>between 04/22-05/09</w:t>
            </w:r>
            <w:r>
              <w:t xml:space="preserve">; Assessment </w:t>
            </w:r>
          </w:p>
          <w:p w14:paraId="3A4088AD" w14:textId="49B87D5C" w:rsidR="0072581D" w:rsidRDefault="002B3DE6" w:rsidP="000A5E88">
            <w:r>
              <w:t>Workshops: 03/04; 03/18; 04/08; 04/22</w:t>
            </w:r>
            <w:r w:rsidR="000A5E88">
              <w:t xml:space="preserve"> </w:t>
            </w:r>
          </w:p>
        </w:tc>
        <w:tc>
          <w:tcPr>
            <w:tcW w:w="2574" w:type="dxa"/>
          </w:tcPr>
          <w:p w14:paraId="58C830A2" w14:textId="77777777" w:rsidR="0072581D" w:rsidRDefault="0072581D" w:rsidP="00007364"/>
        </w:tc>
        <w:tc>
          <w:tcPr>
            <w:tcW w:w="2574" w:type="dxa"/>
          </w:tcPr>
          <w:p w14:paraId="12FEA440" w14:textId="77777777" w:rsidR="0072581D" w:rsidRDefault="0072581D" w:rsidP="00007364"/>
        </w:tc>
      </w:tr>
    </w:tbl>
    <w:p w14:paraId="15453636" w14:textId="0EF95559" w:rsidR="0051342D" w:rsidRDefault="0051342D" w:rsidP="00007364"/>
    <w:p w14:paraId="1A100CBE" w14:textId="7F89BA95" w:rsidR="002C6005" w:rsidRDefault="002C6005" w:rsidP="002C6005">
      <w:pPr>
        <w:pStyle w:val="NoSpacing"/>
      </w:pPr>
      <w:r>
        <w:rPr>
          <w:noProof/>
        </w:rPr>
        <mc:AlternateContent>
          <mc:Choice Requires="wps">
            <w:drawing>
              <wp:anchor distT="91440" distB="91440" distL="114300" distR="114300" simplePos="0" relativeHeight="251657216" behindDoc="0" locked="0" layoutInCell="1" allowOverlap="1" wp14:anchorId="477ED599" wp14:editId="67D5177C">
                <wp:simplePos x="0" y="0"/>
                <wp:positionH relativeFrom="page">
                  <wp:posOffset>914400</wp:posOffset>
                </wp:positionH>
                <wp:positionV relativeFrom="paragraph">
                  <wp:posOffset>441325</wp:posOffset>
                </wp:positionV>
                <wp:extent cx="5943600" cy="280987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09875"/>
                        </a:xfrm>
                        <a:prstGeom prst="rect">
                          <a:avLst/>
                        </a:prstGeom>
                        <a:noFill/>
                        <a:ln w="9525">
                          <a:noFill/>
                          <a:miter lim="800000"/>
                          <a:headEnd/>
                          <a:tailEnd/>
                        </a:ln>
                      </wps:spPr>
                      <wps:txbx>
                        <w:txbxContent>
                          <w:p w14:paraId="5AE0F6A2" w14:textId="77777777" w:rsidR="009B3159" w:rsidRDefault="009B3159" w:rsidP="002C6005">
                            <w:pPr>
                              <w:pBdr>
                                <w:top w:val="single" w:sz="24" w:space="8" w:color="4B5A60" w:themeColor="accent1"/>
                                <w:bottom w:val="single" w:sz="24" w:space="8" w:color="4B5A60" w:themeColor="accent1"/>
                              </w:pBdr>
                              <w:spacing w:after="0"/>
                              <w:rPr>
                                <w:i/>
                                <w:iCs/>
                                <w:color w:val="4B5A60" w:themeColor="accent1"/>
                              </w:rPr>
                            </w:pPr>
                            <w:r>
                              <w:rPr>
                                <w:i/>
                                <w:iCs/>
                                <w:color w:val="4B5A60" w:themeColor="accent1"/>
                              </w:rPr>
                              <w:t>Examples of Good Practice – Speech Communication</w:t>
                            </w:r>
                          </w:p>
                          <w:p w14:paraId="036284D7" w14:textId="77777777" w:rsidR="009B3159" w:rsidRDefault="009B3159" w:rsidP="002C6005">
                            <w:pPr>
                              <w:pBdr>
                                <w:top w:val="single" w:sz="24" w:space="8" w:color="4B5A60" w:themeColor="accent1"/>
                                <w:bottom w:val="single" w:sz="24" w:space="8" w:color="4B5A60" w:themeColor="accent1"/>
                              </w:pBdr>
                              <w:spacing w:after="0"/>
                              <w:rPr>
                                <w:iCs/>
                                <w:color w:val="4B5A60" w:themeColor="accent1"/>
                              </w:rPr>
                            </w:pPr>
                            <w:r>
                              <w:rPr>
                                <w:iCs/>
                                <w:color w:val="4B5A60" w:themeColor="accent1"/>
                              </w:rPr>
                              <w:t xml:space="preserve">The Speech Communication program follows a student learning assessment practice of </w:t>
                            </w:r>
                            <w:r w:rsidRPr="008202DF">
                              <w:rPr>
                                <w:i/>
                                <w:iCs/>
                                <w:color w:val="4B5A60" w:themeColor="accent1"/>
                              </w:rPr>
                              <w:t>every student, every outcome, every semester</w:t>
                            </w:r>
                            <w:r>
                              <w:rPr>
                                <w:iCs/>
                                <w:color w:val="4B5A60" w:themeColor="accent1"/>
                              </w:rPr>
                              <w:t xml:space="preserve">. To address the time and effort needed for measuring all student learning, Speech Communication developed an efficient system for capturing, managing, analyzing, and using student learning data. </w:t>
                            </w:r>
                          </w:p>
                          <w:p w14:paraId="758ED35D" w14:textId="39068643" w:rsidR="009B3159" w:rsidRPr="00591E71" w:rsidRDefault="009B3159" w:rsidP="002C6005">
                            <w:pPr>
                              <w:pBdr>
                                <w:top w:val="single" w:sz="24" w:space="8" w:color="4B5A60" w:themeColor="accent1"/>
                                <w:bottom w:val="single" w:sz="24" w:space="8" w:color="4B5A60" w:themeColor="accent1"/>
                              </w:pBdr>
                              <w:spacing w:after="0"/>
                              <w:rPr>
                                <w:iCs/>
                                <w:color w:val="4B5A60" w:themeColor="accent1"/>
                              </w:rPr>
                            </w:pPr>
                            <w:r>
                              <w:rPr>
                                <w:iCs/>
                                <w:color w:val="4B5A60" w:themeColor="accent1"/>
                              </w:rPr>
                              <w:t xml:space="preserve">Faculty record formative and summative assessment results into a template housed in Dropbox. This allows for all faculty to submit data to a central location and for a key point data ambassador within the program to manage and analyze student learning data. Student learning data is analyzed at a minimum, at the end of every semester, with results shared and action plans negotiated with all faculty. To maintain their focus on using student learning results for improvement, the Speech Communication faculty keep student learning assessment as an ongoing agenda item for every department meeting.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ED599" id="_x0000_s1029" type="#_x0000_t202" style="position:absolute;margin-left:1in;margin-top:34.75pt;width:468pt;height:221.25pt;z-index:2516572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q7DgIAAPoDAAAOAAAAZHJzL2Uyb0RvYy54bWysU21v2yAQ/j5p/wHxfbHjJm1ixam6dp0m&#10;dS9Sux+AMY7RgGNAYme/vgdOMmv7No0PCLi75+557tjcDlqRg3BegqnofJZTIgyHRppdRb+/PL5b&#10;UeIDMw1TYERFj8LT2+3bN5velqKADlQjHEEQ48veVrQLwZZZ5nknNPMzsMKgsQWnWcCr22WNYz2i&#10;a5UVeX6d9eAa64AL7/H1YTTSbcJvW8HD17b1IhBVUawtpN2lvY57tt2wcueY7SQ/lcH+oQrNpMGk&#10;F6gHFhjZO/kXlJbcgYc2zDjoDNpWcpE4IJt5/geb545ZkbigON5eZPL/D5Z/OXxzRDbYO0oM09ii&#10;FzEE8h4GUkR1eutLdHq26BYGfI6ekam3T8B/eGLgvmNmJ+6cg74TrMHq5jEym4SOOD6C1P1naDAN&#10;2wdIQEPrdAREMQiiY5eOl87EUjg+LteLq+scTRxtxSpfr26WKQcrz+HW+fBRgCbxUFGHrU/w7PDk&#10;QyyHlWeXmM3Ao1QqtV8Z0ld0vSyWKWBi0TLgdCqpK7rK4xrnJbL8YJoUHJhU4xkTKHOiHZmOnMNQ&#10;D0nfq7OaNTRH1MHBOIz4efDQgftFSY+DWFH/c8+coER9Mqjler5YxMlNl8XypsCLm1rqqYUZjlAV&#10;DZSMx/uQpn2kfIeatzKpEZszVnIqGQcsiXT6DHGCp/fk9fvLbl8BAAD//wMAUEsDBBQABgAIAAAA&#10;IQD5YDDZ3gAAAAsBAAAPAAAAZHJzL2Rvd25yZXYueG1sTI/BbsIwEETvlfgHa5F6KzYoQRDiIETV&#10;a6tCW6k3Ey9JRLyOYkPSv+9yao8zO5p9k29H14ob9qHxpGE+UyCQSm8bqjR8HF+eViBCNGRN6wk1&#10;/GCAbTF5yE1m/UDveDvESnAJhcxoqGPsMilDWaMzYeY7JL6dfe9MZNlX0vZm4HLXyoVSS+lMQ/yh&#10;Nh3uaywvh6vT8Pl6/v5K1Fv17NJu8KOS5NZS68fpuNuAiDjGvzDc8RkdCmY6+SvZIFrWScJboobl&#10;OgVxD6iVYuekIZ0vFMgil/83FL8AAAD//wMAUEsBAi0AFAAGAAgAAAAhALaDOJL+AAAA4QEAABMA&#10;AAAAAAAAAAAAAAAAAAAAAFtDb250ZW50X1R5cGVzXS54bWxQSwECLQAUAAYACAAAACEAOP0h/9YA&#10;AACUAQAACwAAAAAAAAAAAAAAAAAvAQAAX3JlbHMvLnJlbHNQSwECLQAUAAYACAAAACEAAH56uw4C&#10;AAD6AwAADgAAAAAAAAAAAAAAAAAuAgAAZHJzL2Uyb0RvYy54bWxQSwECLQAUAAYACAAAACEA+WAw&#10;2d4AAAALAQAADwAAAAAAAAAAAAAAAABoBAAAZHJzL2Rvd25yZXYueG1sUEsFBgAAAAAEAAQA8wAA&#10;AHMFAAAAAA==&#10;" filled="f" stroked="f">
                <v:textbox>
                  <w:txbxContent>
                    <w:p w14:paraId="5AE0F6A2" w14:textId="77777777" w:rsidR="009B3159" w:rsidRDefault="009B3159" w:rsidP="002C6005">
                      <w:pPr>
                        <w:pBdr>
                          <w:top w:val="single" w:sz="24" w:space="8" w:color="4B5A60" w:themeColor="accent1"/>
                          <w:bottom w:val="single" w:sz="24" w:space="8" w:color="4B5A60" w:themeColor="accent1"/>
                        </w:pBdr>
                        <w:spacing w:after="0"/>
                        <w:rPr>
                          <w:i/>
                          <w:iCs/>
                          <w:color w:val="4B5A60" w:themeColor="accent1"/>
                        </w:rPr>
                      </w:pPr>
                      <w:r>
                        <w:rPr>
                          <w:i/>
                          <w:iCs/>
                          <w:color w:val="4B5A60" w:themeColor="accent1"/>
                        </w:rPr>
                        <w:t>Examples of Good Practice – Speech Communication</w:t>
                      </w:r>
                    </w:p>
                    <w:p w14:paraId="036284D7" w14:textId="77777777" w:rsidR="009B3159" w:rsidRDefault="009B3159" w:rsidP="002C6005">
                      <w:pPr>
                        <w:pBdr>
                          <w:top w:val="single" w:sz="24" w:space="8" w:color="4B5A60" w:themeColor="accent1"/>
                          <w:bottom w:val="single" w:sz="24" w:space="8" w:color="4B5A60" w:themeColor="accent1"/>
                        </w:pBdr>
                        <w:spacing w:after="0"/>
                        <w:rPr>
                          <w:iCs/>
                          <w:color w:val="4B5A60" w:themeColor="accent1"/>
                        </w:rPr>
                      </w:pPr>
                      <w:r>
                        <w:rPr>
                          <w:iCs/>
                          <w:color w:val="4B5A60" w:themeColor="accent1"/>
                        </w:rPr>
                        <w:t xml:space="preserve">The Speech Communication program follows a student learning assessment practice of </w:t>
                      </w:r>
                      <w:r w:rsidRPr="008202DF">
                        <w:rPr>
                          <w:i/>
                          <w:iCs/>
                          <w:color w:val="4B5A60" w:themeColor="accent1"/>
                        </w:rPr>
                        <w:t>every student, every outcome, every semester</w:t>
                      </w:r>
                      <w:r>
                        <w:rPr>
                          <w:iCs/>
                          <w:color w:val="4B5A60" w:themeColor="accent1"/>
                        </w:rPr>
                        <w:t xml:space="preserve">. To address the time and effort needed for measuring all student learning, Speech Communication developed an efficient system for capturing, managing, analyzing, and using student learning data. </w:t>
                      </w:r>
                    </w:p>
                    <w:p w14:paraId="758ED35D" w14:textId="39068643" w:rsidR="009B3159" w:rsidRPr="00591E71" w:rsidRDefault="009B3159" w:rsidP="002C6005">
                      <w:pPr>
                        <w:pBdr>
                          <w:top w:val="single" w:sz="24" w:space="8" w:color="4B5A60" w:themeColor="accent1"/>
                          <w:bottom w:val="single" w:sz="24" w:space="8" w:color="4B5A60" w:themeColor="accent1"/>
                        </w:pBdr>
                        <w:spacing w:after="0"/>
                        <w:rPr>
                          <w:iCs/>
                          <w:color w:val="4B5A60" w:themeColor="accent1"/>
                        </w:rPr>
                      </w:pPr>
                      <w:r>
                        <w:rPr>
                          <w:iCs/>
                          <w:color w:val="4B5A60" w:themeColor="accent1"/>
                        </w:rPr>
                        <w:t xml:space="preserve">Faculty record formative and summative assessment results into a template housed in Dropbox. This allows for all faculty to submit data to a central location and for a key point data ambassador within the program to manage and analyze student learning data. Student learning data is analyzed at a minimum, at the end of every semester, with results shared and action plans negotiated with all faculty. To maintain their focus on using student learning results for improvement, the Speech Communication faculty keep student learning assessment as an ongoing agenda item for every department meeting. </w:t>
                      </w:r>
                    </w:p>
                  </w:txbxContent>
                </v:textbox>
                <w10:wrap type="topAndBottom" anchorx="page"/>
              </v:shape>
            </w:pict>
          </mc:Fallback>
        </mc:AlternateContent>
      </w:r>
    </w:p>
    <w:p w14:paraId="2F95B395" w14:textId="77777777" w:rsidR="00DC4020" w:rsidRDefault="00DC4020" w:rsidP="004F65CC"/>
    <w:p w14:paraId="1DADE699" w14:textId="16D0E18F" w:rsidR="001203D8" w:rsidRPr="00F96BFA" w:rsidRDefault="001203D8" w:rsidP="00F96BFA">
      <w:pPr>
        <w:pStyle w:val="Heading1"/>
        <w:rPr>
          <w:b/>
        </w:rPr>
      </w:pPr>
      <w:bookmarkStart w:id="8" w:name="_Toc445381110"/>
      <w:r w:rsidRPr="00F96BFA">
        <w:rPr>
          <w:b/>
        </w:rPr>
        <w:lastRenderedPageBreak/>
        <w:t xml:space="preserve">Assessment </w:t>
      </w:r>
      <w:r w:rsidR="00857EEC">
        <w:rPr>
          <w:b/>
        </w:rPr>
        <w:t>Plan</w:t>
      </w:r>
      <w:r w:rsidRPr="00F96BFA">
        <w:rPr>
          <w:b/>
        </w:rPr>
        <w:t xml:space="preserve"> Development</w:t>
      </w:r>
      <w:bookmarkEnd w:id="8"/>
      <w:r w:rsidR="00F96BFA" w:rsidRPr="00F96BFA">
        <w:rPr>
          <w:b/>
        </w:rPr>
        <w:t xml:space="preserve"> </w:t>
      </w:r>
    </w:p>
    <w:p w14:paraId="4090E610" w14:textId="77777777" w:rsidR="00852194" w:rsidRDefault="00852194" w:rsidP="00852194">
      <w:pPr>
        <w:pStyle w:val="NoSpacing"/>
      </w:pPr>
    </w:p>
    <w:p w14:paraId="337432BB" w14:textId="1D4ADD01" w:rsidR="001203D8" w:rsidRPr="0031630F" w:rsidRDefault="001203D8" w:rsidP="00852194">
      <w:pPr>
        <w:rPr>
          <w:b/>
        </w:rPr>
      </w:pPr>
      <w:r w:rsidRPr="0031630F">
        <w:t xml:space="preserve">LCC revisions to the assessment </w:t>
      </w:r>
      <w:r w:rsidR="00857EEC">
        <w:t>plan</w:t>
      </w:r>
      <w:r w:rsidRPr="0031630F">
        <w:t xml:space="preserve"> began Fall, 2015 with the </w:t>
      </w:r>
      <w:r w:rsidR="00C675BB">
        <w:t>intent</w:t>
      </w:r>
      <w:r w:rsidRPr="0031630F">
        <w:t xml:space="preserve"> of</w:t>
      </w:r>
      <w:r>
        <w:rPr>
          <w:b/>
        </w:rPr>
        <w:t xml:space="preserve"> </w:t>
      </w:r>
      <w:r w:rsidRPr="00D10E87">
        <w:t xml:space="preserve">designing, implementing, and evaluating a systematic assessment </w:t>
      </w:r>
      <w:r w:rsidR="00857EEC">
        <w:t>plan</w:t>
      </w:r>
      <w:r w:rsidRPr="00D10E87">
        <w:t xml:space="preserve"> that provides strategic direction for our efforts and resources aimed at continuous im</w:t>
      </w:r>
      <w:r w:rsidR="005F041D">
        <w:t>provement of student learning. We use a</w:t>
      </w:r>
      <w:r w:rsidRPr="00D10E87">
        <w:t xml:space="preserve"> continuous monitoring and evaluation approach </w:t>
      </w:r>
      <w:r w:rsidR="005F041D">
        <w:t>to receive</w:t>
      </w:r>
      <w:r w:rsidRPr="00D10E87">
        <w:t xml:space="preserve"> en-route, timely measurement </w:t>
      </w:r>
      <w:r>
        <w:t>of</w:t>
      </w:r>
      <w:r w:rsidRPr="00D10E87">
        <w:t xml:space="preserve"> student learning outcomes and feedback about how LCC </w:t>
      </w:r>
      <w:r w:rsidR="005F041D">
        <w:t xml:space="preserve">assessment contributes to our goal of student success. </w:t>
      </w:r>
      <w:r w:rsidRPr="00D10E87">
        <w:t xml:space="preserve"> </w:t>
      </w:r>
    </w:p>
    <w:p w14:paraId="0576D74C" w14:textId="2701E58D" w:rsidR="001203D8" w:rsidRDefault="001203D8" w:rsidP="00852194">
      <w:r>
        <w:t xml:space="preserve">CASL members built upon the existing LCC assessment </w:t>
      </w:r>
      <w:r w:rsidR="00857EEC">
        <w:t>plan</w:t>
      </w:r>
      <w:r>
        <w:t xml:space="preserve"> (dated 2012) to design an updated </w:t>
      </w:r>
      <w:r w:rsidR="00857EEC">
        <w:t>plan</w:t>
      </w:r>
      <w:r>
        <w:t xml:space="preserve">. The plan was designed in collaboration with faculty members and administrators seeking a practical and integrated approach to student learning assessment. CASL members gathered feedback from faculty and administrators through 1:1 meetings, professional development activities, and the use of the SharePoint system that offered opportunities for a shared collaboration in the design, utility, and feasibility of the new assessment </w:t>
      </w:r>
      <w:r w:rsidR="00857EEC">
        <w:t>plan</w:t>
      </w:r>
      <w:r>
        <w:t xml:space="preserve">. CASL provided feedback using an Assessment Plan Feedback Rubric that assessed the completeness and quality of the LCC Assessment </w:t>
      </w:r>
      <w:r w:rsidR="00857EEC">
        <w:t>Plan</w:t>
      </w:r>
      <w:r>
        <w:t xml:space="preserve">. The rubric was designed in alignment with LCC’s strategic goals and criteria that corresponds to Criteria Four: Teaching and Learning: Evaluation and Improvement. Feedback was then used to make modifications to the Assessment </w:t>
      </w:r>
      <w:r w:rsidR="00857EEC">
        <w:t>Plan</w:t>
      </w:r>
      <w:r>
        <w:t xml:space="preserve"> design prior to Academic Senate review.</w:t>
      </w:r>
    </w:p>
    <w:p w14:paraId="7746FC06" w14:textId="599F5DF1" w:rsidR="001203D8" w:rsidRDefault="001203D8" w:rsidP="00852194">
      <w:r>
        <w:t xml:space="preserve">CASL members </w:t>
      </w:r>
      <w:r w:rsidR="00934E17">
        <w:t xml:space="preserve">then </w:t>
      </w:r>
      <w:r>
        <w:t xml:space="preserve">submitted the updated </w:t>
      </w:r>
      <w:r w:rsidR="00857EEC">
        <w:t>plan</w:t>
      </w:r>
      <w:r>
        <w:t xml:space="preserve"> to the Academic Senate for review, feedback, and approval in the </w:t>
      </w:r>
      <w:r w:rsidR="009A5F34">
        <w:t>Spring</w:t>
      </w:r>
      <w:r>
        <w:t>, 2016 semester. F</w:t>
      </w:r>
      <w:r w:rsidR="00934E17">
        <w:t>eedback regarding the design is</w:t>
      </w:r>
      <w:r>
        <w:t xml:space="preserve"> incorporated and the </w:t>
      </w:r>
      <w:r w:rsidR="009A5F34">
        <w:t xml:space="preserve">revised assessment </w:t>
      </w:r>
      <w:r w:rsidR="00857EEC">
        <w:t>plan</w:t>
      </w:r>
      <w:r w:rsidR="00934E17">
        <w:t xml:space="preserve"> is</w:t>
      </w:r>
      <w:r>
        <w:t xml:space="preserve"> shared with the larger LCC c</w:t>
      </w:r>
      <w:r w:rsidR="009A5F34">
        <w:t xml:space="preserve">ommunity </w:t>
      </w:r>
      <w:r w:rsidR="00934E17">
        <w:t xml:space="preserve">by posting LCC’s assessment plan to the CASL webpage on the </w:t>
      </w:r>
      <w:r>
        <w:t xml:space="preserve">lcc.edu </w:t>
      </w:r>
      <w:r w:rsidR="00934E17">
        <w:t xml:space="preserve">public website and through presentations. </w:t>
      </w:r>
    </w:p>
    <w:p w14:paraId="40541464" w14:textId="78E62BDA" w:rsidR="001203D8" w:rsidRPr="001203D8" w:rsidRDefault="001203D8" w:rsidP="001203D8">
      <w:pPr>
        <w:pStyle w:val="NoSpacing"/>
        <w:rPr>
          <w:rFonts w:eastAsia="Calibri" w:cs="Times New Roman"/>
          <w:b/>
        </w:rPr>
      </w:pPr>
      <w:r w:rsidRPr="001203D8">
        <w:rPr>
          <w:rFonts w:eastAsia="Calibri" w:cs="Times New Roman"/>
          <w:b/>
        </w:rPr>
        <w:t>Assessment Process</w:t>
      </w:r>
    </w:p>
    <w:p w14:paraId="749F05DC" w14:textId="77777777" w:rsidR="001203D8" w:rsidRDefault="001203D8" w:rsidP="001203D8">
      <w:pPr>
        <w:pStyle w:val="NoSpacing"/>
      </w:pPr>
    </w:p>
    <w:p w14:paraId="17A804B0" w14:textId="176AB84E" w:rsidR="006A2836" w:rsidRPr="00761C40" w:rsidRDefault="006A2836" w:rsidP="006A2836">
      <w:pPr>
        <w:rPr>
          <w:rFonts w:cs="Times New Roman"/>
        </w:rPr>
      </w:pPr>
      <w:r>
        <w:rPr>
          <w:rFonts w:cs="Times New Roman"/>
        </w:rPr>
        <w:t xml:space="preserve">Throughout the Fall, 2015 semester, all Programs of Study were requested to identify, document, and share Program of Study student learning outcomes statements, methods of assessment for student learning outcomes statements, and 2-year mastery levels. </w:t>
      </w:r>
      <w:r w:rsidR="001203D8">
        <w:rPr>
          <w:rFonts w:cs="Times New Roman"/>
        </w:rPr>
        <w:t xml:space="preserve">Supported by attendance to the HLC Assessment Workshop in St. Charles, IL during the summer of 2105, CASL developed a Program of Study Learning Outcomes Template to guide the process of mapping Program of Study learning outcomes with course and institutional learning outcomes. The template also provided space to identify the assessment method(s) for learning outcomes and the 2-year mastery level (i.e. introduce, reinforce, master). </w:t>
      </w:r>
      <w:r w:rsidRPr="00761C40">
        <w:rPr>
          <w:rFonts w:cs="Times New Roman"/>
        </w:rPr>
        <w:t>Programs of Study submitted completed template</w:t>
      </w:r>
      <w:r>
        <w:rPr>
          <w:rFonts w:cs="Times New Roman"/>
        </w:rPr>
        <w:t>s</w:t>
      </w:r>
      <w:r w:rsidRPr="00761C40">
        <w:rPr>
          <w:rFonts w:cs="Times New Roman"/>
        </w:rPr>
        <w:t xml:space="preserve"> to LCC’s SharePoint syst</w:t>
      </w:r>
      <w:r>
        <w:rPr>
          <w:rFonts w:cs="Times New Roman"/>
        </w:rPr>
        <w:t>em. This provided a central location</w:t>
      </w:r>
      <w:r w:rsidRPr="00761C40">
        <w:rPr>
          <w:rFonts w:cs="Times New Roman"/>
        </w:rPr>
        <w:t xml:space="preserve"> to report and maintain Program of Study learning outcomes. The templates were then divided up among CASL members for review. CASL feedback is then incorporated into the Program Review cycle. </w:t>
      </w:r>
    </w:p>
    <w:p w14:paraId="01654F5D" w14:textId="29E85627" w:rsidR="001203D8" w:rsidRDefault="006A2836" w:rsidP="001203D8">
      <w:pPr>
        <w:rPr>
          <w:rFonts w:cs="Times New Roman"/>
        </w:rPr>
      </w:pPr>
      <w:r>
        <w:rPr>
          <w:rFonts w:cs="Times New Roman"/>
        </w:rPr>
        <w:t>To prepare for analysis</w:t>
      </w:r>
      <w:r w:rsidR="00E3202E">
        <w:rPr>
          <w:rFonts w:cs="Times New Roman"/>
        </w:rPr>
        <w:t xml:space="preserve"> of the completed templates</w:t>
      </w:r>
      <w:r>
        <w:rPr>
          <w:rFonts w:cs="Times New Roman"/>
        </w:rPr>
        <w:t xml:space="preserve">, CASL </w:t>
      </w:r>
      <w:r w:rsidR="001203D8">
        <w:rPr>
          <w:rFonts w:cs="Times New Roman"/>
        </w:rPr>
        <w:t xml:space="preserve">developed a rubric to assess the completeness and quality of learning outcomes statements and selected assessment methods. Completeness is defined as all Programs of Study identify, document, and share all student learning outcomes statements and </w:t>
      </w:r>
      <w:r w:rsidR="00E3202E">
        <w:rPr>
          <w:rFonts w:cs="Times New Roman"/>
        </w:rPr>
        <w:t>align</w:t>
      </w:r>
      <w:r w:rsidR="001203D8">
        <w:rPr>
          <w:rFonts w:cs="Times New Roman"/>
        </w:rPr>
        <w:t xml:space="preserve"> those student learning outcome statements to LCC’s Essential Learning Outcomes. Qual</w:t>
      </w:r>
      <w:r w:rsidR="00852194">
        <w:rPr>
          <w:rFonts w:cs="Times New Roman"/>
        </w:rPr>
        <w:t xml:space="preserve">ity is defined as all reported </w:t>
      </w:r>
      <w:r w:rsidR="001203D8">
        <w:rPr>
          <w:rFonts w:cs="Times New Roman"/>
        </w:rPr>
        <w:t xml:space="preserve">learning outcomes statements are specific, measurable, attainable, </w:t>
      </w:r>
      <w:r w:rsidR="00E3202E">
        <w:rPr>
          <w:rFonts w:cs="Times New Roman"/>
        </w:rPr>
        <w:t>student-</w:t>
      </w:r>
      <w:r w:rsidR="00E3202E">
        <w:rPr>
          <w:rFonts w:cs="Times New Roman"/>
        </w:rPr>
        <w:lastRenderedPageBreak/>
        <w:t xml:space="preserve">focused, </w:t>
      </w:r>
      <w:r w:rsidR="001203D8">
        <w:rPr>
          <w:rFonts w:cs="Times New Roman"/>
        </w:rPr>
        <w:t xml:space="preserve">and results-focused and that the selected assessment method is aligned to Bloom’s Taxonomy cognition levels. </w:t>
      </w:r>
    </w:p>
    <w:p w14:paraId="26A265D9" w14:textId="0AEB10E6" w:rsidR="001203D8" w:rsidRDefault="001203D8" w:rsidP="001203D8">
      <w:pPr>
        <w:rPr>
          <w:rFonts w:eastAsia="Calibri" w:cs="Times New Roman"/>
        </w:rPr>
      </w:pPr>
      <w:r>
        <w:rPr>
          <w:rFonts w:cs="Times New Roman"/>
        </w:rPr>
        <w:t xml:space="preserve">With a new rubric to assess </w:t>
      </w:r>
      <w:r w:rsidR="009A5F34">
        <w:rPr>
          <w:rFonts w:cs="Times New Roman"/>
        </w:rPr>
        <w:t>reported learning outcomes statements</w:t>
      </w:r>
      <w:r>
        <w:rPr>
          <w:rFonts w:cs="Times New Roman"/>
        </w:rPr>
        <w:t>,</w:t>
      </w:r>
      <w:r w:rsidRPr="00E2382C">
        <w:rPr>
          <w:rFonts w:eastAsia="Calibri" w:cs="Times New Roman"/>
        </w:rPr>
        <w:t xml:space="preserve"> </w:t>
      </w:r>
      <w:r>
        <w:rPr>
          <w:rFonts w:eastAsia="Calibri" w:cs="Times New Roman"/>
        </w:rPr>
        <w:t xml:space="preserve">CASL established the reliability (i.e. distinguishing levels, appropriate criteria, number of levels of achievement, clarity of the descriptions) and validity (i.e. time to complete, directions for use, recommended processes, ease of use, feasibility, utility) of the instrument through a series of inter-rater agreement studies in CASL meetings, small group activities, </w:t>
      </w:r>
      <w:r w:rsidR="00E3202E">
        <w:rPr>
          <w:rFonts w:eastAsia="Calibri" w:cs="Times New Roman"/>
        </w:rPr>
        <w:t xml:space="preserve">and </w:t>
      </w:r>
      <w:r>
        <w:rPr>
          <w:rFonts w:eastAsia="Calibri" w:cs="Times New Roman"/>
        </w:rPr>
        <w:t>professional dev</w:t>
      </w:r>
      <w:r w:rsidR="00E3202E">
        <w:rPr>
          <w:rFonts w:eastAsia="Calibri" w:cs="Times New Roman"/>
        </w:rPr>
        <w:t>elopment days</w:t>
      </w:r>
      <w:r>
        <w:rPr>
          <w:rFonts w:eastAsia="Calibri" w:cs="Times New Roman"/>
        </w:rPr>
        <w:t>. The final rubric w</w:t>
      </w:r>
      <w:r w:rsidR="009A5F34">
        <w:rPr>
          <w:rFonts w:eastAsia="Calibri" w:cs="Times New Roman"/>
        </w:rPr>
        <w:t>ill be</w:t>
      </w:r>
      <w:r>
        <w:rPr>
          <w:rFonts w:eastAsia="Calibri" w:cs="Times New Roman"/>
        </w:rPr>
        <w:t xml:space="preserve"> published on the public lcc.edu website and also made available to faculty </w:t>
      </w:r>
      <w:r w:rsidR="009A5F34">
        <w:rPr>
          <w:rFonts w:eastAsia="Calibri" w:cs="Times New Roman"/>
        </w:rPr>
        <w:t>for self-reviews</w:t>
      </w:r>
      <w:r>
        <w:rPr>
          <w:rFonts w:eastAsia="Calibri" w:cs="Times New Roman"/>
        </w:rPr>
        <w:t>.</w:t>
      </w:r>
    </w:p>
    <w:p w14:paraId="3F29FF1D" w14:textId="0C4D8C61" w:rsidR="001203D8" w:rsidRDefault="006A2836" w:rsidP="001203D8">
      <w:pPr>
        <w:rPr>
          <w:rFonts w:eastAsia="Calibri" w:cs="Times New Roman"/>
        </w:rPr>
      </w:pPr>
      <w:r>
        <w:rPr>
          <w:rFonts w:eastAsia="Calibri" w:cs="Times New Roman"/>
        </w:rPr>
        <w:t xml:space="preserve">CASL and CDS also reviewed the Program Review processes and instruments, such as the Program Review questionnaire. The </w:t>
      </w:r>
      <w:r w:rsidR="001203D8">
        <w:rPr>
          <w:rFonts w:eastAsia="Calibri" w:cs="Times New Roman"/>
        </w:rPr>
        <w:t xml:space="preserve">Program Review questionnaire is used to assist faculty with responding to the three overarching questions of Program Review. CASL reviewed the questionnaire in Fall, 2015 to assess alignment to the updated assessment </w:t>
      </w:r>
      <w:r w:rsidR="00857EEC">
        <w:rPr>
          <w:rFonts w:eastAsia="Calibri" w:cs="Times New Roman"/>
        </w:rPr>
        <w:t>plan</w:t>
      </w:r>
      <w:r w:rsidR="001203D8">
        <w:rPr>
          <w:rFonts w:eastAsia="Calibri" w:cs="Times New Roman"/>
        </w:rPr>
        <w:t xml:space="preserve">. Questions related to student learning assessment were added to the questionnaire and submitted to Academic Senate for review and approval in Spring, 2016. The Academic Senate agreed to pilot the addition of student learning assessment questions during the Spring, 2016 semester and revisit a formal approval in the Fall, 2016 semester once we had data and feedback to support further changes to the </w:t>
      </w:r>
      <w:r w:rsidR="009A5F34">
        <w:rPr>
          <w:rFonts w:eastAsia="Calibri" w:cs="Times New Roman"/>
        </w:rPr>
        <w:t>Program Review questionnaire.</w:t>
      </w:r>
      <w:r w:rsidR="001203D8">
        <w:rPr>
          <w:rFonts w:eastAsia="Calibri" w:cs="Times New Roman"/>
        </w:rPr>
        <w:t xml:space="preserve"> </w:t>
      </w:r>
    </w:p>
    <w:p w14:paraId="57B0A945" w14:textId="3C584B3B" w:rsidR="001203D8" w:rsidRDefault="001203D8" w:rsidP="001203D8">
      <w:pPr>
        <w:rPr>
          <w:rFonts w:eastAsia="Calibri" w:cs="Times New Roman"/>
        </w:rPr>
      </w:pPr>
      <w:r w:rsidRPr="00761C40">
        <w:rPr>
          <w:rFonts w:eastAsia="Calibri" w:cs="Times New Roman"/>
        </w:rPr>
        <w:t>Feedback from faculty and administrators and a CASL self-review identified opportunities to streamline processes of capturing learning outcomes data by designing one template to gather both academic program and insti</w:t>
      </w:r>
      <w:r w:rsidR="006A2836">
        <w:rPr>
          <w:rFonts w:eastAsia="Calibri" w:cs="Times New Roman"/>
        </w:rPr>
        <w:t xml:space="preserve">tutional learning outcomes </w:t>
      </w:r>
      <w:r w:rsidRPr="00761C40">
        <w:rPr>
          <w:rFonts w:eastAsia="Calibri" w:cs="Times New Roman"/>
        </w:rPr>
        <w:t>in one form, rather than implementing steps a and b as separate tasks. Further, once a second form for ELOs was identified, previously captured Program of Study outcomes were prefilled onto the ELO template to reduce the duplication of work and speed up the process of gathering ELO alignment data from academic programs. During analysis, it was also determined a distinction between formative and summative assessment methods w</w:t>
      </w:r>
      <w:r w:rsidR="006A2836">
        <w:rPr>
          <w:rFonts w:eastAsia="Calibri" w:cs="Times New Roman"/>
        </w:rPr>
        <w:t xml:space="preserve">as necessary to clarify </w:t>
      </w:r>
      <w:r w:rsidRPr="00761C40">
        <w:rPr>
          <w:rFonts w:eastAsia="Calibri" w:cs="Times New Roman"/>
        </w:rPr>
        <w:t>when</w:t>
      </w:r>
      <w:r w:rsidR="009A5F34">
        <w:rPr>
          <w:rFonts w:eastAsia="Calibri" w:cs="Times New Roman"/>
        </w:rPr>
        <w:t xml:space="preserve"> and how often</w:t>
      </w:r>
      <w:r w:rsidRPr="00761C40">
        <w:rPr>
          <w:rFonts w:eastAsia="Calibri" w:cs="Times New Roman"/>
        </w:rPr>
        <w:t xml:space="preserve"> assessment takes place. The revised student learning outcome data form </w:t>
      </w:r>
      <w:r w:rsidR="009A5F34">
        <w:rPr>
          <w:rFonts w:eastAsia="Calibri" w:cs="Times New Roman"/>
        </w:rPr>
        <w:t>will capture and link</w:t>
      </w:r>
      <w:r w:rsidRPr="00761C40">
        <w:rPr>
          <w:rFonts w:eastAsia="Calibri" w:cs="Times New Roman"/>
        </w:rPr>
        <w:t xml:space="preserve"> course, academic program, and institutional </w:t>
      </w:r>
      <w:r w:rsidR="009A5F34">
        <w:rPr>
          <w:rFonts w:eastAsia="Calibri" w:cs="Times New Roman"/>
        </w:rPr>
        <w:t>learning outcomes and distinguish</w:t>
      </w:r>
      <w:r w:rsidRPr="00761C40">
        <w:rPr>
          <w:rFonts w:eastAsia="Calibri" w:cs="Times New Roman"/>
        </w:rPr>
        <w:t xml:space="preserve"> between formativ</w:t>
      </w:r>
      <w:r w:rsidR="009A5F34">
        <w:rPr>
          <w:rFonts w:eastAsia="Calibri" w:cs="Times New Roman"/>
        </w:rPr>
        <w:t>e and summative assessment.</w:t>
      </w:r>
    </w:p>
    <w:p w14:paraId="2F5A9B4D" w14:textId="77777777" w:rsidR="001203D8" w:rsidRPr="001203D8" w:rsidRDefault="001203D8" w:rsidP="001203D8">
      <w:pPr>
        <w:rPr>
          <w:b/>
        </w:rPr>
      </w:pPr>
      <w:r w:rsidRPr="001203D8">
        <w:rPr>
          <w:b/>
        </w:rPr>
        <w:t xml:space="preserve">Assessment Communication and Education </w:t>
      </w:r>
    </w:p>
    <w:p w14:paraId="4204ADA4" w14:textId="2F31E8D2" w:rsidR="001203D8" w:rsidRDefault="006A2836" w:rsidP="001203D8">
      <w:pPr>
        <w:rPr>
          <w:rFonts w:eastAsia="Calibri" w:cs="Times New Roman"/>
        </w:rPr>
      </w:pPr>
      <w:r>
        <w:t>CASL planned for ongoing assessment communica</w:t>
      </w:r>
      <w:r w:rsidR="00C675BB">
        <w:t>tion and education with the intent</w:t>
      </w:r>
      <w:r>
        <w:t xml:space="preserve"> of developing assessment capacity and to demonstrate a continuous assessment cycle. CASL supports the integrat</w:t>
      </w:r>
      <w:r w:rsidR="009A5F34">
        <w:t>ion</w:t>
      </w:r>
      <w:r>
        <w:t xml:space="preserve"> of the updated assessment </w:t>
      </w:r>
      <w:r w:rsidR="00857EEC">
        <w:t>plan</w:t>
      </w:r>
      <w:r>
        <w:t xml:space="preserve"> by </w:t>
      </w:r>
      <w:r>
        <w:rPr>
          <w:rFonts w:eastAsia="Calibri" w:cs="Times New Roman"/>
        </w:rPr>
        <w:t>educating faculty on the revised standa</w:t>
      </w:r>
      <w:r w:rsidR="009A5F34">
        <w:rPr>
          <w:rFonts w:eastAsia="Calibri" w:cs="Times New Roman"/>
        </w:rPr>
        <w:t>rds of assessment performance and</w:t>
      </w:r>
      <w:r>
        <w:rPr>
          <w:rFonts w:eastAsia="Calibri" w:cs="Times New Roman"/>
        </w:rPr>
        <w:t xml:space="preserve"> providing ongoing consultation and professional development. CDS and CASL actively seek opportunities to engage faculty and administration with the changes to the assessment </w:t>
      </w:r>
      <w:r w:rsidR="00857EEC">
        <w:rPr>
          <w:rFonts w:eastAsia="Calibri" w:cs="Times New Roman"/>
        </w:rPr>
        <w:t>plan</w:t>
      </w:r>
      <w:r w:rsidR="002C1F58">
        <w:rPr>
          <w:rFonts w:eastAsia="Calibri" w:cs="Times New Roman"/>
        </w:rPr>
        <w:t xml:space="preserve"> by offering workshops, d</w:t>
      </w:r>
      <w:r>
        <w:rPr>
          <w:rFonts w:eastAsia="Calibri" w:cs="Times New Roman"/>
        </w:rPr>
        <w:t>rop-in sessions for faculty to receive support in developing and/or revising student learning outcomes and i</w:t>
      </w:r>
      <w:r w:rsidR="002C1F58">
        <w:rPr>
          <w:rFonts w:eastAsia="Calibri" w:cs="Times New Roman"/>
        </w:rPr>
        <w:t>dentifying assessment methods, p</w:t>
      </w:r>
      <w:r>
        <w:rPr>
          <w:rFonts w:eastAsia="Calibri" w:cs="Times New Roman"/>
        </w:rPr>
        <w:t xml:space="preserve">resentations at </w:t>
      </w:r>
      <w:r w:rsidR="002C1F58">
        <w:rPr>
          <w:rFonts w:eastAsia="Calibri" w:cs="Times New Roman"/>
        </w:rPr>
        <w:t>p</w:t>
      </w:r>
      <w:r>
        <w:rPr>
          <w:rFonts w:eastAsia="Calibri" w:cs="Times New Roman"/>
        </w:rPr>
        <w:t>rofessional</w:t>
      </w:r>
      <w:r w:rsidR="002C1F58">
        <w:rPr>
          <w:rFonts w:eastAsia="Calibri" w:cs="Times New Roman"/>
        </w:rPr>
        <w:t xml:space="preserve"> development days, p</w:t>
      </w:r>
      <w:r>
        <w:rPr>
          <w:rFonts w:eastAsia="Calibri" w:cs="Times New Roman"/>
        </w:rPr>
        <w:t xml:space="preserve">articipating in department meetings to assist with negotiating assessment types and learning outcomes, and 1:1 consultations with faculty to support integration and adoption of assessment expectations. </w:t>
      </w:r>
    </w:p>
    <w:p w14:paraId="48865028" w14:textId="76F3FFAC" w:rsidR="001203D8" w:rsidRPr="006A2836" w:rsidRDefault="006A2836" w:rsidP="006A2836">
      <w:r>
        <w:rPr>
          <w:rFonts w:eastAsia="Calibri" w:cs="Times New Roman"/>
        </w:rPr>
        <w:t xml:space="preserve">Ongoing communication about LCC’s assessment practices, policies, tools, and resources </w:t>
      </w:r>
      <w:r w:rsidR="002C1F58">
        <w:rPr>
          <w:rFonts w:eastAsia="Calibri" w:cs="Times New Roman"/>
        </w:rPr>
        <w:t>will be</w:t>
      </w:r>
      <w:r>
        <w:rPr>
          <w:rFonts w:eastAsia="Calibri" w:cs="Times New Roman"/>
        </w:rPr>
        <w:t xml:space="preserve"> provided on an updated assessment webpage of lcc.edu/assessment. </w:t>
      </w:r>
      <w:r>
        <w:t xml:space="preserve">The </w:t>
      </w:r>
      <w:r>
        <w:rPr>
          <w:rFonts w:eastAsia="Calibri" w:cs="Times New Roman"/>
        </w:rPr>
        <w:t xml:space="preserve">updated assessment site is </w:t>
      </w:r>
      <w:r>
        <w:rPr>
          <w:rFonts w:eastAsia="Calibri" w:cs="Times New Roman"/>
        </w:rPr>
        <w:lastRenderedPageBreak/>
        <w:t>being</w:t>
      </w:r>
      <w:r w:rsidR="001203D8" w:rsidRPr="006A2836">
        <w:rPr>
          <w:rFonts w:eastAsia="Calibri" w:cs="Times New Roman"/>
        </w:rPr>
        <w:t xml:space="preserve"> designed in two phases. In the first phase (Fall, 2015), the assessment page was loaded with the CASL charter, information about ongoing projects of CASL, public announcements of meeting dates and times, copies of meeting minutes, and a listing of CASL members and contact information. In phase two (Fall, 2016), the assessment site will serve as a central site to locate and access assessment tools (e.g. rubrics, templates), assessment professional development education (e.g. </w:t>
      </w:r>
      <w:r w:rsidR="00E3202E">
        <w:rPr>
          <w:rFonts w:eastAsia="Calibri" w:cs="Times New Roman"/>
        </w:rPr>
        <w:t xml:space="preserve">assessment handbook, </w:t>
      </w:r>
      <w:r w:rsidR="001203D8" w:rsidRPr="006A2836">
        <w:rPr>
          <w:rFonts w:eastAsia="Calibri" w:cs="Times New Roman"/>
        </w:rPr>
        <w:t xml:space="preserve">presentations, papers, announcements), and assessment results. </w:t>
      </w:r>
    </w:p>
    <w:p w14:paraId="63BDF7BB" w14:textId="1787FD3D" w:rsidR="001203D8" w:rsidRPr="00DE245B" w:rsidRDefault="00DE245B" w:rsidP="00DE245B">
      <w:pPr>
        <w:rPr>
          <w:rFonts w:eastAsia="Calibri" w:cs="Times New Roman"/>
          <w:b/>
        </w:rPr>
      </w:pPr>
      <w:r w:rsidRPr="00DE245B">
        <w:rPr>
          <w:rFonts w:eastAsia="Calibri" w:cs="Times New Roman"/>
          <w:b/>
        </w:rPr>
        <w:t xml:space="preserve">Continuous Improvement of Assessment </w:t>
      </w:r>
    </w:p>
    <w:p w14:paraId="74180068" w14:textId="2111AE1A" w:rsidR="00DE245B" w:rsidRDefault="00DE245B" w:rsidP="00DE245B">
      <w:r>
        <w:t>LCC approaches assessment as an ongoing</w:t>
      </w:r>
      <w:r w:rsidR="002C1F58">
        <w:t>, r</w:t>
      </w:r>
      <w:r>
        <w:t>eflective learning process</w:t>
      </w:r>
      <w:r w:rsidR="002C1F58">
        <w:t xml:space="preserve"> with plans </w:t>
      </w:r>
      <w:r>
        <w:t xml:space="preserve">for ongoing assessment improvements are described in the table below. </w:t>
      </w:r>
    </w:p>
    <w:tbl>
      <w:tblPr>
        <w:tblStyle w:val="TableGrid"/>
        <w:tblW w:w="0" w:type="auto"/>
        <w:tblLook w:val="04A0" w:firstRow="1" w:lastRow="0" w:firstColumn="1" w:lastColumn="0" w:noHBand="0" w:noVBand="1"/>
      </w:tblPr>
      <w:tblGrid>
        <w:gridCol w:w="3347"/>
        <w:gridCol w:w="3695"/>
        <w:gridCol w:w="3028"/>
      </w:tblGrid>
      <w:tr w:rsidR="00DE245B" w14:paraId="7EF99A4C" w14:textId="77777777" w:rsidTr="00EC6042">
        <w:tc>
          <w:tcPr>
            <w:tcW w:w="3432" w:type="dxa"/>
            <w:shd w:val="clear" w:color="auto" w:fill="E6E6E6"/>
          </w:tcPr>
          <w:p w14:paraId="294B42B2" w14:textId="3F72B8A5" w:rsidR="00DE245B" w:rsidRPr="00E762D4" w:rsidRDefault="00DE245B" w:rsidP="00E762D4">
            <w:pPr>
              <w:jc w:val="center"/>
              <w:rPr>
                <w:b/>
              </w:rPr>
            </w:pPr>
            <w:r w:rsidRPr="00E762D4">
              <w:rPr>
                <w:b/>
              </w:rPr>
              <w:t>Assessment Area of Improvement</w:t>
            </w:r>
          </w:p>
        </w:tc>
        <w:tc>
          <w:tcPr>
            <w:tcW w:w="3786" w:type="dxa"/>
            <w:shd w:val="clear" w:color="auto" w:fill="E6E6E6"/>
          </w:tcPr>
          <w:p w14:paraId="474A65AE" w14:textId="2733E468" w:rsidR="00DE245B" w:rsidRPr="00E762D4" w:rsidRDefault="00486CF0" w:rsidP="00E762D4">
            <w:pPr>
              <w:jc w:val="center"/>
              <w:rPr>
                <w:b/>
              </w:rPr>
            </w:pPr>
            <w:r w:rsidRPr="00E762D4">
              <w:rPr>
                <w:b/>
              </w:rPr>
              <w:t>Assessment Tasks</w:t>
            </w:r>
          </w:p>
        </w:tc>
        <w:tc>
          <w:tcPr>
            <w:tcW w:w="3078" w:type="dxa"/>
            <w:shd w:val="clear" w:color="auto" w:fill="E6E6E6"/>
          </w:tcPr>
          <w:p w14:paraId="0C2B94D6" w14:textId="0CCE2C52" w:rsidR="00DE245B" w:rsidRPr="00E762D4" w:rsidRDefault="00486CF0" w:rsidP="00E762D4">
            <w:pPr>
              <w:jc w:val="center"/>
              <w:rPr>
                <w:b/>
              </w:rPr>
            </w:pPr>
            <w:r w:rsidRPr="00E762D4">
              <w:rPr>
                <w:b/>
              </w:rPr>
              <w:t>Timeframes</w:t>
            </w:r>
          </w:p>
        </w:tc>
      </w:tr>
      <w:tr w:rsidR="00DE245B" w14:paraId="770F817A" w14:textId="77777777" w:rsidTr="00EC6042">
        <w:tc>
          <w:tcPr>
            <w:tcW w:w="3432" w:type="dxa"/>
          </w:tcPr>
          <w:p w14:paraId="48A15D87" w14:textId="6674C7EA" w:rsidR="00DE245B" w:rsidRDefault="00486CF0" w:rsidP="00DE245B">
            <w:r>
              <w:t>Continuous improvement of assessment data collection instruments</w:t>
            </w:r>
          </w:p>
        </w:tc>
        <w:tc>
          <w:tcPr>
            <w:tcW w:w="3786" w:type="dxa"/>
          </w:tcPr>
          <w:p w14:paraId="2926467C" w14:textId="77777777" w:rsidR="00DE245B" w:rsidRDefault="00486CF0" w:rsidP="00486CF0">
            <w:pPr>
              <w:pStyle w:val="ListParagraph"/>
              <w:numPr>
                <w:ilvl w:val="0"/>
                <w:numId w:val="10"/>
              </w:numPr>
              <w:spacing w:after="0"/>
            </w:pPr>
            <w:r>
              <w:t>Revise Program of Study learning outcomes template to distinguish between formative and summative assessments</w:t>
            </w:r>
          </w:p>
          <w:p w14:paraId="718DF110" w14:textId="68065DDA" w:rsidR="00486CF0" w:rsidRDefault="00486CF0" w:rsidP="00486CF0">
            <w:pPr>
              <w:pStyle w:val="ListParagraph"/>
              <w:numPr>
                <w:ilvl w:val="0"/>
                <w:numId w:val="10"/>
              </w:numPr>
              <w:spacing w:after="0"/>
            </w:pPr>
            <w:r>
              <w:t xml:space="preserve">Re-review the addition of student learning evidence questions on the Program Review questionnaire </w:t>
            </w:r>
          </w:p>
        </w:tc>
        <w:tc>
          <w:tcPr>
            <w:tcW w:w="3078" w:type="dxa"/>
          </w:tcPr>
          <w:p w14:paraId="5E0A3CBA" w14:textId="6BACD942" w:rsidR="00DE245B" w:rsidRDefault="00486CF0" w:rsidP="00486CF0">
            <w:pPr>
              <w:pStyle w:val="ListParagraph"/>
              <w:numPr>
                <w:ilvl w:val="0"/>
                <w:numId w:val="10"/>
              </w:numPr>
              <w:spacing w:after="0"/>
            </w:pPr>
            <w:r>
              <w:t xml:space="preserve">CASL review and design Spring, 2016 </w:t>
            </w:r>
          </w:p>
          <w:p w14:paraId="2C820C7B" w14:textId="77777777" w:rsidR="00486CF0" w:rsidRDefault="00486CF0" w:rsidP="00DE245B"/>
          <w:p w14:paraId="14259564" w14:textId="77777777" w:rsidR="00486CF0" w:rsidRDefault="00486CF0" w:rsidP="00DE245B"/>
          <w:p w14:paraId="6D65D7AA" w14:textId="4C441A2C" w:rsidR="00486CF0" w:rsidRDefault="00486CF0" w:rsidP="00486CF0">
            <w:pPr>
              <w:pStyle w:val="ListParagraph"/>
              <w:numPr>
                <w:ilvl w:val="0"/>
                <w:numId w:val="10"/>
              </w:numPr>
              <w:spacing w:after="0"/>
            </w:pPr>
            <w:r>
              <w:t xml:space="preserve">Resubmit Program Review questionnaire to Academic Senate early Fall, 2016 </w:t>
            </w:r>
          </w:p>
        </w:tc>
      </w:tr>
      <w:tr w:rsidR="00DE245B" w14:paraId="78F3E3AF" w14:textId="77777777" w:rsidTr="00EC6042">
        <w:tc>
          <w:tcPr>
            <w:tcW w:w="3432" w:type="dxa"/>
          </w:tcPr>
          <w:p w14:paraId="28E714BE" w14:textId="56BFB5E8" w:rsidR="00DE245B" w:rsidRDefault="00DE245B" w:rsidP="00DE245B">
            <w:r>
              <w:t xml:space="preserve">Add the correlation between assessment alignment and learning outcomes to </w:t>
            </w:r>
            <w:r w:rsidR="009D6873">
              <w:t xml:space="preserve">future </w:t>
            </w:r>
            <w:r>
              <w:t>analysis</w:t>
            </w:r>
          </w:p>
        </w:tc>
        <w:tc>
          <w:tcPr>
            <w:tcW w:w="3786" w:type="dxa"/>
          </w:tcPr>
          <w:p w14:paraId="5C8704A7" w14:textId="77777777" w:rsidR="00DE245B" w:rsidRDefault="00E762D4" w:rsidP="008542F6">
            <w:pPr>
              <w:pStyle w:val="ListParagraph"/>
              <w:numPr>
                <w:ilvl w:val="0"/>
                <w:numId w:val="10"/>
              </w:numPr>
              <w:spacing w:after="0"/>
            </w:pPr>
            <w:r>
              <w:t>Do more aligned assessment methods lead to improved learning outcomes for LCC students?</w:t>
            </w:r>
          </w:p>
          <w:p w14:paraId="0A9DDD0E" w14:textId="65360EBE" w:rsidR="008542F6" w:rsidRDefault="008542F6" w:rsidP="008542F6">
            <w:pPr>
              <w:pStyle w:val="ListParagraph"/>
              <w:numPr>
                <w:ilvl w:val="0"/>
                <w:numId w:val="10"/>
              </w:numPr>
              <w:spacing w:after="0"/>
            </w:pPr>
            <w:r>
              <w:t xml:space="preserve">Add analysis after larger sample size of student learning evidence results obtained </w:t>
            </w:r>
          </w:p>
          <w:p w14:paraId="44137465" w14:textId="77777777" w:rsidR="00E762D4" w:rsidRDefault="00E762D4" w:rsidP="00DE245B"/>
        </w:tc>
        <w:tc>
          <w:tcPr>
            <w:tcW w:w="3078" w:type="dxa"/>
          </w:tcPr>
          <w:p w14:paraId="22FC4AC2" w14:textId="77777777" w:rsidR="00DE245B" w:rsidRDefault="008542F6" w:rsidP="008542F6">
            <w:pPr>
              <w:pStyle w:val="ListParagraph"/>
              <w:numPr>
                <w:ilvl w:val="0"/>
                <w:numId w:val="10"/>
              </w:numPr>
              <w:spacing w:after="0"/>
            </w:pPr>
            <w:r>
              <w:t xml:space="preserve">Spring, 2017 – 2018 </w:t>
            </w:r>
          </w:p>
          <w:p w14:paraId="39652973" w14:textId="6AA3A4F5" w:rsidR="008542F6" w:rsidRDefault="008542F6" w:rsidP="00DE245B"/>
        </w:tc>
      </w:tr>
      <w:tr w:rsidR="00DE245B" w14:paraId="5F98D59B" w14:textId="77777777" w:rsidTr="00EC6042">
        <w:tc>
          <w:tcPr>
            <w:tcW w:w="3432" w:type="dxa"/>
          </w:tcPr>
          <w:p w14:paraId="6EE2BE1F" w14:textId="0A78D090" w:rsidR="00DE245B" w:rsidRDefault="00DE245B" w:rsidP="00DE245B">
            <w:r>
              <w:t xml:space="preserve">Gain insight into how faculty perceive the updated assessment </w:t>
            </w:r>
            <w:r w:rsidR="00857EEC">
              <w:t>plan</w:t>
            </w:r>
            <w:r w:rsidR="002C1F58">
              <w:t xml:space="preserve"> in practice</w:t>
            </w:r>
          </w:p>
        </w:tc>
        <w:tc>
          <w:tcPr>
            <w:tcW w:w="3786" w:type="dxa"/>
          </w:tcPr>
          <w:p w14:paraId="546C4314" w14:textId="77777777" w:rsidR="0051198A" w:rsidRDefault="0051198A" w:rsidP="0051198A">
            <w:pPr>
              <w:pStyle w:val="ListParagraph"/>
              <w:numPr>
                <w:ilvl w:val="0"/>
                <w:numId w:val="11"/>
              </w:numPr>
              <w:spacing w:after="0"/>
            </w:pPr>
            <w:r>
              <w:t>Design survey using criteria: utility, support, feasibility, satisfaction</w:t>
            </w:r>
          </w:p>
          <w:p w14:paraId="58563520" w14:textId="1A96F7C0" w:rsidR="0051198A" w:rsidRDefault="0051198A" w:rsidP="0051198A">
            <w:pPr>
              <w:pStyle w:val="ListParagraph"/>
              <w:numPr>
                <w:ilvl w:val="0"/>
                <w:numId w:val="11"/>
              </w:numPr>
              <w:spacing w:after="0"/>
            </w:pPr>
            <w:r>
              <w:t>CASL review, approval</w:t>
            </w:r>
          </w:p>
          <w:p w14:paraId="389C04AD" w14:textId="77777777" w:rsidR="00DE245B" w:rsidRDefault="008542F6" w:rsidP="0051198A">
            <w:pPr>
              <w:pStyle w:val="ListParagraph"/>
              <w:numPr>
                <w:ilvl w:val="0"/>
                <w:numId w:val="11"/>
              </w:numPr>
              <w:spacing w:after="0"/>
            </w:pPr>
            <w:r>
              <w:t xml:space="preserve">Administer electronic survey to pilot participant faculty following the </w:t>
            </w:r>
            <w:r w:rsidR="0051198A">
              <w:t>first round of data collection</w:t>
            </w:r>
          </w:p>
          <w:p w14:paraId="0BA49CC8" w14:textId="085F2637" w:rsidR="0051198A" w:rsidRDefault="0051198A" w:rsidP="00DE245B"/>
        </w:tc>
        <w:tc>
          <w:tcPr>
            <w:tcW w:w="3078" w:type="dxa"/>
          </w:tcPr>
          <w:p w14:paraId="6961BA92" w14:textId="77777777" w:rsidR="0051198A" w:rsidRDefault="0051198A" w:rsidP="0051198A">
            <w:pPr>
              <w:pStyle w:val="ListParagraph"/>
              <w:numPr>
                <w:ilvl w:val="0"/>
                <w:numId w:val="11"/>
              </w:numPr>
              <w:spacing w:after="0"/>
            </w:pPr>
            <w:r>
              <w:t>Survey design Spring, 2016</w:t>
            </w:r>
          </w:p>
          <w:p w14:paraId="653F5BDD" w14:textId="782BC0AA" w:rsidR="0051198A" w:rsidRDefault="0051198A" w:rsidP="0051198A">
            <w:pPr>
              <w:pStyle w:val="ListParagraph"/>
              <w:numPr>
                <w:ilvl w:val="0"/>
                <w:numId w:val="11"/>
              </w:numPr>
              <w:spacing w:after="0"/>
            </w:pPr>
            <w:r>
              <w:t>CASL review early Fall, 2016</w:t>
            </w:r>
          </w:p>
          <w:p w14:paraId="451F5F53" w14:textId="470791EF" w:rsidR="00DE245B" w:rsidRDefault="0051198A" w:rsidP="0051198A">
            <w:pPr>
              <w:pStyle w:val="ListParagraph"/>
              <w:numPr>
                <w:ilvl w:val="0"/>
                <w:numId w:val="11"/>
              </w:numPr>
              <w:spacing w:after="0"/>
            </w:pPr>
            <w:r>
              <w:t xml:space="preserve">Administer </w:t>
            </w:r>
            <w:r w:rsidR="00C1114F">
              <w:t xml:space="preserve">survey </w:t>
            </w:r>
            <w:r>
              <w:t>through SurveyMonkey Fall, 2016</w:t>
            </w:r>
          </w:p>
        </w:tc>
      </w:tr>
      <w:tr w:rsidR="00486CF0" w14:paraId="192A9B05" w14:textId="77777777" w:rsidTr="00EC6042">
        <w:tc>
          <w:tcPr>
            <w:tcW w:w="3432" w:type="dxa"/>
          </w:tcPr>
          <w:p w14:paraId="51E3B945" w14:textId="77777777" w:rsidR="00934E17" w:rsidRDefault="00486CF0" w:rsidP="00486CF0">
            <w:r>
              <w:t xml:space="preserve">Understand faculty time allocated to assessment activities. </w:t>
            </w:r>
          </w:p>
          <w:p w14:paraId="592B23C6" w14:textId="77777777" w:rsidR="00934E17" w:rsidRDefault="00486CF0" w:rsidP="00486CF0">
            <w:r>
              <w:t>Is time allocated to assessment correlated to learning outcomes?</w:t>
            </w:r>
            <w:r w:rsidR="002C1F58">
              <w:t xml:space="preserve"> </w:t>
            </w:r>
          </w:p>
          <w:p w14:paraId="1A52E255" w14:textId="67085A4A" w:rsidR="00486CF0" w:rsidRDefault="002C1F58" w:rsidP="00486CF0">
            <w:r>
              <w:t xml:space="preserve">How much time is and can be allocated to interpretation </w:t>
            </w:r>
            <w:r>
              <w:lastRenderedPageBreak/>
              <w:t>(where faculty can spend time devoted to using student learning evidence)</w:t>
            </w:r>
          </w:p>
        </w:tc>
        <w:tc>
          <w:tcPr>
            <w:tcW w:w="3786" w:type="dxa"/>
          </w:tcPr>
          <w:p w14:paraId="35A4F7EA" w14:textId="77777777" w:rsidR="00486CF0" w:rsidRDefault="00C1114F" w:rsidP="00BF45DF">
            <w:pPr>
              <w:pStyle w:val="ListParagraph"/>
              <w:numPr>
                <w:ilvl w:val="0"/>
                <w:numId w:val="13"/>
              </w:numPr>
              <w:spacing w:after="0"/>
            </w:pPr>
            <w:r>
              <w:lastRenderedPageBreak/>
              <w:t>Identify assessment activities</w:t>
            </w:r>
          </w:p>
          <w:p w14:paraId="48B3F8B4" w14:textId="77777777" w:rsidR="00C1114F" w:rsidRDefault="00C1114F" w:rsidP="00BF45DF">
            <w:pPr>
              <w:pStyle w:val="ListParagraph"/>
              <w:numPr>
                <w:ilvl w:val="0"/>
                <w:numId w:val="13"/>
              </w:numPr>
              <w:spacing w:after="0"/>
            </w:pPr>
            <w:r>
              <w:t>Include time allocations to these activities in the faculty assessment survey</w:t>
            </w:r>
          </w:p>
          <w:p w14:paraId="5ADFD81A" w14:textId="77777777" w:rsidR="00C1114F" w:rsidRDefault="00C1114F" w:rsidP="00BF45DF">
            <w:pPr>
              <w:pStyle w:val="ListParagraph"/>
              <w:numPr>
                <w:ilvl w:val="0"/>
                <w:numId w:val="13"/>
              </w:numPr>
              <w:spacing w:after="0"/>
            </w:pPr>
            <w:r>
              <w:t>Analyze for understanding how does time correlate to learning outcomes</w:t>
            </w:r>
          </w:p>
          <w:p w14:paraId="78C19B0F" w14:textId="58724E70" w:rsidR="002C1F58" w:rsidRDefault="002C1F58" w:rsidP="00BF45DF">
            <w:pPr>
              <w:pStyle w:val="ListParagraph"/>
              <w:numPr>
                <w:ilvl w:val="0"/>
                <w:numId w:val="13"/>
              </w:numPr>
              <w:spacing w:after="0"/>
            </w:pPr>
            <w:r>
              <w:lastRenderedPageBreak/>
              <w:t>Analyze for time allocated to interpretation (where data becomes useful to faculty)</w:t>
            </w:r>
          </w:p>
        </w:tc>
        <w:tc>
          <w:tcPr>
            <w:tcW w:w="3078" w:type="dxa"/>
          </w:tcPr>
          <w:p w14:paraId="791D1FC7" w14:textId="77777777" w:rsidR="00486CF0" w:rsidRDefault="00C1114F" w:rsidP="00C1114F">
            <w:pPr>
              <w:pStyle w:val="ListParagraph"/>
              <w:numPr>
                <w:ilvl w:val="0"/>
                <w:numId w:val="12"/>
              </w:numPr>
              <w:spacing w:after="0"/>
            </w:pPr>
            <w:r>
              <w:lastRenderedPageBreak/>
              <w:t>Administer survey through SurveyMonkey Fall, 2016</w:t>
            </w:r>
          </w:p>
          <w:p w14:paraId="366699E4" w14:textId="0E07B5F9" w:rsidR="00C1114F" w:rsidRDefault="00C1114F" w:rsidP="00C1114F">
            <w:pPr>
              <w:pStyle w:val="ListParagraph"/>
              <w:numPr>
                <w:ilvl w:val="0"/>
                <w:numId w:val="12"/>
              </w:numPr>
              <w:spacing w:after="0"/>
            </w:pPr>
            <w:r>
              <w:t>Analyze Spring, 2017</w:t>
            </w:r>
          </w:p>
        </w:tc>
      </w:tr>
      <w:tr w:rsidR="00486CF0" w14:paraId="23A6EAA7" w14:textId="77777777" w:rsidTr="00EC6042">
        <w:tc>
          <w:tcPr>
            <w:tcW w:w="3432" w:type="dxa"/>
          </w:tcPr>
          <w:p w14:paraId="1947D8C1" w14:textId="6D591857" w:rsidR="00486CF0" w:rsidRDefault="00486CF0" w:rsidP="00486CF0">
            <w:r>
              <w:lastRenderedPageBreak/>
              <w:t>Continue collecting insight into how student learning evidence is used</w:t>
            </w:r>
          </w:p>
        </w:tc>
        <w:tc>
          <w:tcPr>
            <w:tcW w:w="3786" w:type="dxa"/>
          </w:tcPr>
          <w:p w14:paraId="32FC951B" w14:textId="77777777" w:rsidR="00486CF0" w:rsidRDefault="004E6DAF" w:rsidP="004E6DAF">
            <w:pPr>
              <w:pStyle w:val="ListParagraph"/>
              <w:numPr>
                <w:ilvl w:val="0"/>
                <w:numId w:val="16"/>
              </w:numPr>
              <w:spacing w:after="0"/>
            </w:pPr>
            <w:r>
              <w:t xml:space="preserve">Conduct Program Reviews </w:t>
            </w:r>
          </w:p>
          <w:p w14:paraId="74531F14" w14:textId="50B92152" w:rsidR="004E6DAF" w:rsidRDefault="004E6DAF" w:rsidP="004E6DAF">
            <w:pPr>
              <w:pStyle w:val="ListParagraph"/>
              <w:numPr>
                <w:ilvl w:val="0"/>
                <w:numId w:val="16"/>
              </w:numPr>
              <w:spacing w:after="0"/>
            </w:pPr>
            <w:r>
              <w:t>Continue soliciting add</w:t>
            </w:r>
            <w:r w:rsidR="0013213D">
              <w:t>itional programs to collaborat</w:t>
            </w:r>
            <w:r>
              <w:t>e in student learning studies</w:t>
            </w:r>
          </w:p>
        </w:tc>
        <w:tc>
          <w:tcPr>
            <w:tcW w:w="3078" w:type="dxa"/>
          </w:tcPr>
          <w:p w14:paraId="776E1FDE" w14:textId="77777777" w:rsidR="00486CF0" w:rsidRDefault="004E6DAF" w:rsidP="004E6DAF">
            <w:pPr>
              <w:pStyle w:val="ListParagraph"/>
              <w:numPr>
                <w:ilvl w:val="0"/>
                <w:numId w:val="15"/>
              </w:numPr>
              <w:spacing w:after="0"/>
            </w:pPr>
            <w:r>
              <w:t>10 Program Reviews, Fall, 2016</w:t>
            </w:r>
          </w:p>
          <w:p w14:paraId="0BEC2DD7" w14:textId="77777777" w:rsidR="004E6DAF" w:rsidRDefault="004E6DAF" w:rsidP="004E6DAF">
            <w:pPr>
              <w:pStyle w:val="ListParagraph"/>
              <w:numPr>
                <w:ilvl w:val="0"/>
                <w:numId w:val="15"/>
              </w:numPr>
              <w:spacing w:after="0"/>
            </w:pPr>
            <w:r>
              <w:t xml:space="preserve">Rolling 4-year Program Review calendar </w:t>
            </w:r>
          </w:p>
          <w:p w14:paraId="33DC4099" w14:textId="6544DBF9" w:rsidR="004E6DAF" w:rsidRDefault="004E6DAF" w:rsidP="004E6DAF">
            <w:pPr>
              <w:pStyle w:val="ListParagraph"/>
              <w:numPr>
                <w:ilvl w:val="0"/>
                <w:numId w:val="15"/>
              </w:numPr>
              <w:spacing w:after="0"/>
            </w:pPr>
            <w:r>
              <w:t>Ongoing assessment communication, education, consultation</w:t>
            </w:r>
          </w:p>
        </w:tc>
      </w:tr>
      <w:tr w:rsidR="00E762D4" w14:paraId="5D0B5975" w14:textId="77777777" w:rsidTr="00EC6042">
        <w:tc>
          <w:tcPr>
            <w:tcW w:w="3432" w:type="dxa"/>
          </w:tcPr>
          <w:p w14:paraId="524E62BC" w14:textId="7EA74BB2" w:rsidR="00E762D4" w:rsidRDefault="00E762D4" w:rsidP="00486CF0">
            <w:r>
              <w:t xml:space="preserve">Integrate assessment results with other LCC strategic initiatives </w:t>
            </w:r>
          </w:p>
        </w:tc>
        <w:tc>
          <w:tcPr>
            <w:tcW w:w="3786" w:type="dxa"/>
          </w:tcPr>
          <w:p w14:paraId="242EB75E" w14:textId="5177ECA9" w:rsidR="00E762D4" w:rsidRDefault="00E762D4" w:rsidP="00BF45DF">
            <w:pPr>
              <w:pStyle w:val="ListParagraph"/>
              <w:numPr>
                <w:ilvl w:val="0"/>
                <w:numId w:val="14"/>
              </w:numPr>
              <w:spacing w:after="0"/>
            </w:pPr>
            <w:r>
              <w:t xml:space="preserve">Share results with Guided Pathways, Curriculum Committee </w:t>
            </w:r>
          </w:p>
        </w:tc>
        <w:tc>
          <w:tcPr>
            <w:tcW w:w="3078" w:type="dxa"/>
          </w:tcPr>
          <w:p w14:paraId="2F3D484C" w14:textId="70245339" w:rsidR="00E762D4" w:rsidRDefault="00E762D4" w:rsidP="00BF45DF">
            <w:pPr>
              <w:pStyle w:val="ListParagraph"/>
              <w:numPr>
                <w:ilvl w:val="0"/>
                <w:numId w:val="14"/>
              </w:numPr>
              <w:spacing w:after="0"/>
            </w:pPr>
            <w:r>
              <w:t>Ongoing – weekly meetings with Guided Pathways coordinator; Liaison assigned to CASL and CC</w:t>
            </w:r>
          </w:p>
        </w:tc>
      </w:tr>
      <w:tr w:rsidR="003E6918" w14:paraId="5AD4FAB3" w14:textId="77777777" w:rsidTr="00EC6042">
        <w:tc>
          <w:tcPr>
            <w:tcW w:w="3432" w:type="dxa"/>
          </w:tcPr>
          <w:p w14:paraId="603A854C" w14:textId="5F9F2055" w:rsidR="003E6918" w:rsidRDefault="000625B9" w:rsidP="00486CF0">
            <w:r>
              <w:t>Improve reported alignment from A&amp;S Programs of Study to LCC’s core institutional learning outcomes (Finding 1)</w:t>
            </w:r>
          </w:p>
        </w:tc>
        <w:tc>
          <w:tcPr>
            <w:tcW w:w="3786" w:type="dxa"/>
          </w:tcPr>
          <w:p w14:paraId="40189232" w14:textId="78550A6E" w:rsidR="003E6918" w:rsidRDefault="000625B9" w:rsidP="0013213D">
            <w:pPr>
              <w:pStyle w:val="ListParagraph"/>
              <w:numPr>
                <w:ilvl w:val="0"/>
                <w:numId w:val="14"/>
              </w:numPr>
              <w:spacing w:after="0"/>
            </w:pPr>
            <w:r>
              <w:t>Conduct targeted data sweep with A&amp;S to collect reported Program of Study learning outcomes to essential learning outcomes</w:t>
            </w:r>
            <w:r w:rsidR="0013213D">
              <w:t xml:space="preserve">. A&amp;S current 65%, Goal </w:t>
            </w:r>
            <m:oMath>
              <m:r>
                <w:rPr>
                  <w:rFonts w:ascii="Cambria Math" w:hAnsi="Cambria Math" w:cs="Times New Roman"/>
                </w:rPr>
                <m:t>≥</m:t>
              </m:r>
            </m:oMath>
            <w:r w:rsidR="0013213D">
              <w:rPr>
                <w:rFonts w:cs="Times New Roman"/>
              </w:rPr>
              <w:t xml:space="preserve"> </w:t>
            </w:r>
            <w:r w:rsidR="0013213D" w:rsidRPr="00E243A9">
              <w:rPr>
                <w:rFonts w:cs="Times New Roman"/>
              </w:rPr>
              <w:t>85%</w:t>
            </w:r>
          </w:p>
        </w:tc>
        <w:tc>
          <w:tcPr>
            <w:tcW w:w="3078" w:type="dxa"/>
          </w:tcPr>
          <w:p w14:paraId="09AD5CFD" w14:textId="71675AF9" w:rsidR="003E6918" w:rsidRDefault="000625B9" w:rsidP="00BF45DF">
            <w:pPr>
              <w:pStyle w:val="ListParagraph"/>
              <w:numPr>
                <w:ilvl w:val="0"/>
                <w:numId w:val="14"/>
              </w:numPr>
              <w:spacing w:after="0"/>
            </w:pPr>
            <w:r>
              <w:t>Fall, 2016</w:t>
            </w:r>
          </w:p>
        </w:tc>
      </w:tr>
      <w:tr w:rsidR="000625B9" w14:paraId="432438AD" w14:textId="77777777" w:rsidTr="00EC6042">
        <w:tc>
          <w:tcPr>
            <w:tcW w:w="3432" w:type="dxa"/>
          </w:tcPr>
          <w:p w14:paraId="78614C10" w14:textId="1CDCDD56" w:rsidR="000625B9" w:rsidRDefault="000625B9" w:rsidP="00486CF0">
            <w:r>
              <w:t>Improve match rate between learning outcome and selected assessment method in A&amp;S (Finding 7)</w:t>
            </w:r>
          </w:p>
        </w:tc>
        <w:tc>
          <w:tcPr>
            <w:tcW w:w="3786" w:type="dxa"/>
          </w:tcPr>
          <w:p w14:paraId="47AFFEA5" w14:textId="44C620C1" w:rsidR="000625B9" w:rsidRDefault="000625B9" w:rsidP="00BF45DF">
            <w:pPr>
              <w:pStyle w:val="ListParagraph"/>
              <w:numPr>
                <w:ilvl w:val="0"/>
                <w:numId w:val="14"/>
              </w:numPr>
              <w:spacing w:after="0"/>
            </w:pPr>
            <w:r>
              <w:t xml:space="preserve">Conduct targeted data sweep with A&amp;S to collect reported assessment methods. A&amp;S current 69%, Goal </w:t>
            </w:r>
            <w:r>
              <w:rPr>
                <w:rFonts w:cs="Times New Roman"/>
              </w:rPr>
              <w:t>≥</w:t>
            </w:r>
            <w:r>
              <w:t>80%</w:t>
            </w:r>
          </w:p>
        </w:tc>
        <w:tc>
          <w:tcPr>
            <w:tcW w:w="3078" w:type="dxa"/>
          </w:tcPr>
          <w:p w14:paraId="45C8CB18" w14:textId="7FE35551" w:rsidR="000625B9" w:rsidRDefault="000625B9" w:rsidP="00BF45DF">
            <w:pPr>
              <w:pStyle w:val="ListParagraph"/>
              <w:numPr>
                <w:ilvl w:val="0"/>
                <w:numId w:val="14"/>
              </w:numPr>
              <w:spacing w:after="0"/>
            </w:pPr>
            <w:r>
              <w:t>Fall, 2016</w:t>
            </w:r>
          </w:p>
        </w:tc>
      </w:tr>
      <w:tr w:rsidR="000625B9" w14:paraId="7A75E17D" w14:textId="77777777" w:rsidTr="00EC6042">
        <w:tc>
          <w:tcPr>
            <w:tcW w:w="3432" w:type="dxa"/>
          </w:tcPr>
          <w:p w14:paraId="6004F2FB" w14:textId="17587BC3" w:rsidR="000625B9" w:rsidRDefault="000625B9" w:rsidP="00486CF0">
            <w:r>
              <w:t>Improve student learning outcomes statements in TC (Finding 6)</w:t>
            </w:r>
          </w:p>
        </w:tc>
        <w:tc>
          <w:tcPr>
            <w:tcW w:w="3786" w:type="dxa"/>
          </w:tcPr>
          <w:p w14:paraId="2754D113" w14:textId="77777777" w:rsidR="000625B9" w:rsidRDefault="000625B9" w:rsidP="00BF45DF">
            <w:pPr>
              <w:pStyle w:val="ListParagraph"/>
              <w:numPr>
                <w:ilvl w:val="0"/>
                <w:numId w:val="14"/>
              </w:numPr>
              <w:spacing w:after="0"/>
            </w:pPr>
            <w:r>
              <w:t xml:space="preserve">Most TC SLOs were program-focused rather than student-focused, therefore, unable to determine cognitive level requirements of TC students and graduates </w:t>
            </w:r>
          </w:p>
          <w:p w14:paraId="38EA82AB" w14:textId="3326334E" w:rsidR="000625B9" w:rsidRDefault="000625B9" w:rsidP="00BF45DF">
            <w:pPr>
              <w:pStyle w:val="ListParagraph"/>
              <w:numPr>
                <w:ilvl w:val="0"/>
                <w:numId w:val="14"/>
              </w:numPr>
              <w:spacing w:after="0"/>
            </w:pPr>
            <w:r>
              <w:t xml:space="preserve">CASL to provide support for writing student-focused learning outcome statements </w:t>
            </w:r>
          </w:p>
        </w:tc>
        <w:tc>
          <w:tcPr>
            <w:tcW w:w="3078" w:type="dxa"/>
          </w:tcPr>
          <w:p w14:paraId="17A39AC9" w14:textId="7A712459" w:rsidR="000625B9" w:rsidRDefault="000625B9" w:rsidP="00BF45DF">
            <w:pPr>
              <w:pStyle w:val="ListParagraph"/>
              <w:numPr>
                <w:ilvl w:val="0"/>
                <w:numId w:val="14"/>
              </w:numPr>
              <w:spacing w:after="0"/>
            </w:pPr>
            <w:r>
              <w:t>Fall, 2016 – Spring, 2017</w:t>
            </w:r>
          </w:p>
        </w:tc>
      </w:tr>
      <w:tr w:rsidR="000625B9" w14:paraId="20A283EE" w14:textId="77777777" w:rsidTr="00EC6042">
        <w:tc>
          <w:tcPr>
            <w:tcW w:w="3432" w:type="dxa"/>
          </w:tcPr>
          <w:p w14:paraId="0AD26209" w14:textId="15ABF58A" w:rsidR="000625B9" w:rsidRDefault="000625B9" w:rsidP="00486CF0">
            <w:r>
              <w:t xml:space="preserve">Improve assessment methods in TC (Finding 6) </w:t>
            </w:r>
          </w:p>
        </w:tc>
        <w:tc>
          <w:tcPr>
            <w:tcW w:w="3786" w:type="dxa"/>
          </w:tcPr>
          <w:p w14:paraId="4407B881" w14:textId="4C4A9D17" w:rsidR="000625B9" w:rsidRDefault="000625B9" w:rsidP="00BF45DF">
            <w:pPr>
              <w:pStyle w:val="ListParagraph"/>
              <w:numPr>
                <w:ilvl w:val="0"/>
                <w:numId w:val="14"/>
              </w:numPr>
              <w:spacing w:after="0"/>
            </w:pPr>
            <w:r>
              <w:t xml:space="preserve">One assessment method is used for all TC summative assessment. Recommend multiple measures and use of measures throughout the curriculum. </w:t>
            </w:r>
          </w:p>
        </w:tc>
        <w:tc>
          <w:tcPr>
            <w:tcW w:w="3078" w:type="dxa"/>
          </w:tcPr>
          <w:p w14:paraId="773E0068" w14:textId="2293262C" w:rsidR="000625B9" w:rsidRDefault="00C200A9" w:rsidP="00BF45DF">
            <w:pPr>
              <w:pStyle w:val="ListParagraph"/>
              <w:numPr>
                <w:ilvl w:val="0"/>
                <w:numId w:val="14"/>
              </w:numPr>
              <w:spacing w:after="0"/>
            </w:pPr>
            <w:r>
              <w:t>Fall, 2016 – S</w:t>
            </w:r>
            <w:r w:rsidR="000625B9">
              <w:t>pring, 2017</w:t>
            </w:r>
          </w:p>
        </w:tc>
      </w:tr>
    </w:tbl>
    <w:p w14:paraId="4B317C81" w14:textId="77777777" w:rsidR="00DE245B" w:rsidRDefault="00DE245B" w:rsidP="00DE245B"/>
    <w:p w14:paraId="4EA00D0F" w14:textId="77777777" w:rsidR="001203D8" w:rsidRDefault="001203D8" w:rsidP="00E94DA7">
      <w:pPr>
        <w:pStyle w:val="NoSpacing"/>
      </w:pPr>
    </w:p>
    <w:p w14:paraId="74B9563B" w14:textId="297CDC12" w:rsidR="001203D8" w:rsidRPr="00F96BFA" w:rsidRDefault="001203D8" w:rsidP="00F96BFA">
      <w:pPr>
        <w:pStyle w:val="Heading1"/>
        <w:rPr>
          <w:b/>
        </w:rPr>
      </w:pPr>
      <w:bookmarkStart w:id="9" w:name="_Toc445381111"/>
      <w:r w:rsidRPr="00F96BFA">
        <w:rPr>
          <w:b/>
        </w:rPr>
        <w:lastRenderedPageBreak/>
        <w:t xml:space="preserve">Assessment </w:t>
      </w:r>
      <w:r w:rsidR="00857EEC">
        <w:rPr>
          <w:b/>
        </w:rPr>
        <w:t>Plan</w:t>
      </w:r>
      <w:r w:rsidRPr="00F96BFA">
        <w:rPr>
          <w:b/>
        </w:rPr>
        <w:t xml:space="preserve"> Measurement Strategy</w:t>
      </w:r>
      <w:bookmarkEnd w:id="9"/>
      <w:r w:rsidRPr="00F96BFA">
        <w:rPr>
          <w:b/>
        </w:rPr>
        <w:t xml:space="preserve"> </w:t>
      </w:r>
    </w:p>
    <w:p w14:paraId="2D1767F9" w14:textId="0AD6B8C0" w:rsidR="00F96BFA" w:rsidRPr="00F96BFA" w:rsidRDefault="00E15143" w:rsidP="00E94DA7">
      <w:pPr>
        <w:pStyle w:val="NoSpacing"/>
      </w:pPr>
      <w:r w:rsidRPr="00F96BFA">
        <w:rPr>
          <w:noProof/>
        </w:rPr>
        <mc:AlternateContent>
          <mc:Choice Requires="wps">
            <w:drawing>
              <wp:anchor distT="45720" distB="45720" distL="114300" distR="114300" simplePos="0" relativeHeight="251654144" behindDoc="0" locked="0" layoutInCell="1" allowOverlap="1" wp14:anchorId="77C99127" wp14:editId="16827020">
                <wp:simplePos x="0" y="0"/>
                <wp:positionH relativeFrom="column">
                  <wp:posOffset>-247650</wp:posOffset>
                </wp:positionH>
                <wp:positionV relativeFrom="paragraph">
                  <wp:posOffset>6969760</wp:posOffset>
                </wp:positionV>
                <wp:extent cx="6724650" cy="2571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57175"/>
                        </a:xfrm>
                        <a:prstGeom prst="rect">
                          <a:avLst/>
                        </a:prstGeom>
                        <a:solidFill>
                          <a:srgbClr val="FFFFFF"/>
                        </a:solidFill>
                        <a:ln w="9525">
                          <a:noFill/>
                          <a:miter lim="800000"/>
                          <a:headEnd/>
                          <a:tailEnd/>
                        </a:ln>
                      </wps:spPr>
                      <wps:txbx>
                        <w:txbxContent>
                          <w:p w14:paraId="08A78535" w14:textId="77777777" w:rsidR="009B3159" w:rsidRPr="00A14EF1" w:rsidRDefault="009B3159" w:rsidP="001203D8">
                            <w:pPr>
                              <w:rPr>
                                <w:sz w:val="18"/>
                                <w:szCs w:val="18"/>
                              </w:rPr>
                            </w:pPr>
                            <w:r w:rsidRPr="00A14EF1">
                              <w:rPr>
                                <w:b/>
                                <w:sz w:val="16"/>
                                <w:szCs w:val="16"/>
                              </w:rPr>
                              <w:t>CASL</w:t>
                            </w:r>
                            <w:r w:rsidRPr="00A14EF1">
                              <w:rPr>
                                <w:sz w:val="16"/>
                                <w:szCs w:val="16"/>
                              </w:rPr>
                              <w:t xml:space="preserve">: Committee </w:t>
                            </w:r>
                            <w:r>
                              <w:rPr>
                                <w:sz w:val="16"/>
                                <w:szCs w:val="16"/>
                              </w:rPr>
                              <w:t xml:space="preserve">for Assessing Student Learning   </w:t>
                            </w:r>
                            <w:r w:rsidRPr="00A14EF1">
                              <w:rPr>
                                <w:b/>
                                <w:sz w:val="16"/>
                                <w:szCs w:val="16"/>
                              </w:rPr>
                              <w:t>CDS</w:t>
                            </w:r>
                            <w:r>
                              <w:rPr>
                                <w:sz w:val="16"/>
                                <w:szCs w:val="16"/>
                              </w:rPr>
                              <w:t xml:space="preserve">: Center for Data Science   </w:t>
                            </w:r>
                            <w:r w:rsidRPr="00A14EF1">
                              <w:rPr>
                                <w:b/>
                                <w:sz w:val="16"/>
                                <w:szCs w:val="16"/>
                              </w:rPr>
                              <w:t>CC</w:t>
                            </w:r>
                            <w:r w:rsidRPr="00A14EF1">
                              <w:rPr>
                                <w:sz w:val="16"/>
                                <w:szCs w:val="16"/>
                              </w:rPr>
                              <w:t>: Curriculum Committee</w:t>
                            </w:r>
                            <w:r>
                              <w:rPr>
                                <w:sz w:val="16"/>
                                <w:szCs w:val="16"/>
                              </w:rPr>
                              <w:t xml:space="preserve"> </w:t>
                            </w:r>
                            <w:r w:rsidRPr="00A14EF1">
                              <w:rPr>
                                <w:b/>
                                <w:sz w:val="16"/>
                                <w:szCs w:val="16"/>
                              </w:rPr>
                              <w:t xml:space="preserve"> CTE</w:t>
                            </w:r>
                            <w:r w:rsidRPr="00A14EF1">
                              <w:rPr>
                                <w:sz w:val="16"/>
                                <w:szCs w:val="16"/>
                              </w:rPr>
                              <w:t>: Center for Teaching Excellence</w:t>
                            </w:r>
                            <w:r>
                              <w:rPr>
                                <w:sz w:val="18"/>
                                <w:szCs w:val="18"/>
                              </w:rPr>
                              <w:t xml:space="preserve"> </w:t>
                            </w:r>
                            <w:r>
                              <w:rPr>
                                <w:sz w:val="18"/>
                                <w:szCs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99127" id="_x0000_s1030" type="#_x0000_t202" style="position:absolute;margin-left:-19.5pt;margin-top:548.8pt;width:529.5pt;height:20.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e+IwIAACIEAAAOAAAAZHJzL2Uyb0RvYy54bWysU9tu2zAMfR+wfxD0vjgxcmmNOEWXLsOA&#10;rhvQ7gNoWY6FyaImKbG7rx8lp2m2vQ3TgyCK5NHhIbW+GTrNjtJ5habks8mUM2kE1srsS/7taffu&#10;ijMfwNSg0ciSP0vPbzZv36x7W8gcW9S1dIxAjC96W/I2BFtkmRet7MBP0EpDzgZdB4FMt89qBz2h&#10;dzrLp9Nl1qOrrUMhvafbu9HJNwm/aaQIX5rGy8B0yYlbSLtLexX3bLOGYu/AtkqcaMA/sOhAGXr0&#10;DHUHAdjBqb+gOiUcemzCRGCXYdMoIVMNVM1s+kc1jy1YmWohcbw9y+T/H6x4OH51TNUlX3JmoKMW&#10;PckhsPc4sDyq01tfUNCjpbAw0DV1OVXq7T2K754Z3LZg9vLWOexbCTWxm8XM7CJ1xPERpOo/Y03P&#10;wCFgAhoa10XpSAxG6NSl53NnIhVBl8tVPl8uyCXIly9Ws9UiPQHFS7Z1PnyU2LF4KLmjzid0ON77&#10;ENlA8RISH/OoVb1TWifD7autduwINCW7tE7ov4Vpw/qSXy/yRUI2GPPTAHUq0BRr1ZX8ahpXTIci&#10;qvHB1OkcQOnxTEy0OckTFRm1CUM1pD7MY26UrsL6mfRyOA4tfTI6tOh+ctbTwJbc/ziAk5zpT4Y0&#10;v57N53HCkzFfrHIy3KWnuvSAEQRV8sDZeNyG9CsibYO31JtGJdlemZwo0yAmNU+fJk76pZ2iXr/2&#10;5hcAAAD//wMAUEsDBBQABgAIAAAAIQAAXmRB4QAAAA4BAAAPAAAAZHJzL2Rvd25yZXYueG1sTI/B&#10;TsMwEETvSPyDtUhcUOuEQtKkcSpAAnFt6Qds4m0SNbaj2G3Sv2d7gtuuZjTzptjOphcXGn3nrIJ4&#10;GYEgWzvd2UbB4edzsQbhA1qNvbOk4EoetuX9XYG5dpPd0WUfGsEh1ueooA1hyKX0dUsG/dINZFk7&#10;utFg4HdspB5x4nDTy+coSqTBznJDiwN9tFSf9mej4Pg9Pb1mU/UVDunuJXnHLq3cVanHh/ltAyLQ&#10;HP7McMNndCiZqXJnq73oFSxWGW8JLERZmoC4WSKuBFHxFa/WMciykP9nlL8AAAD//wMAUEsBAi0A&#10;FAAGAAgAAAAhALaDOJL+AAAA4QEAABMAAAAAAAAAAAAAAAAAAAAAAFtDb250ZW50X1R5cGVzXS54&#10;bWxQSwECLQAUAAYACAAAACEAOP0h/9YAAACUAQAACwAAAAAAAAAAAAAAAAAvAQAAX3JlbHMvLnJl&#10;bHNQSwECLQAUAAYACAAAACEAFRznviMCAAAiBAAADgAAAAAAAAAAAAAAAAAuAgAAZHJzL2Uyb0Rv&#10;Yy54bWxQSwECLQAUAAYACAAAACEAAF5kQeEAAAAOAQAADwAAAAAAAAAAAAAAAAB9BAAAZHJzL2Rv&#10;d25yZXYueG1sUEsFBgAAAAAEAAQA8wAAAIsFAAAAAA==&#10;" stroked="f">
                <v:textbox>
                  <w:txbxContent>
                    <w:p w14:paraId="08A78535" w14:textId="77777777" w:rsidR="009B3159" w:rsidRPr="00A14EF1" w:rsidRDefault="009B3159" w:rsidP="001203D8">
                      <w:pPr>
                        <w:rPr>
                          <w:sz w:val="18"/>
                          <w:szCs w:val="18"/>
                        </w:rPr>
                      </w:pPr>
                      <w:r w:rsidRPr="00A14EF1">
                        <w:rPr>
                          <w:b/>
                          <w:sz w:val="16"/>
                          <w:szCs w:val="16"/>
                        </w:rPr>
                        <w:t>CASL</w:t>
                      </w:r>
                      <w:r w:rsidRPr="00A14EF1">
                        <w:rPr>
                          <w:sz w:val="16"/>
                          <w:szCs w:val="16"/>
                        </w:rPr>
                        <w:t xml:space="preserve">: Committee </w:t>
                      </w:r>
                      <w:r>
                        <w:rPr>
                          <w:sz w:val="16"/>
                          <w:szCs w:val="16"/>
                        </w:rPr>
                        <w:t xml:space="preserve">for Assessing Student Learning   </w:t>
                      </w:r>
                      <w:r w:rsidRPr="00A14EF1">
                        <w:rPr>
                          <w:b/>
                          <w:sz w:val="16"/>
                          <w:szCs w:val="16"/>
                        </w:rPr>
                        <w:t>CDS</w:t>
                      </w:r>
                      <w:r>
                        <w:rPr>
                          <w:sz w:val="16"/>
                          <w:szCs w:val="16"/>
                        </w:rPr>
                        <w:t xml:space="preserve">: Center for Data Science   </w:t>
                      </w:r>
                      <w:r w:rsidRPr="00A14EF1">
                        <w:rPr>
                          <w:b/>
                          <w:sz w:val="16"/>
                          <w:szCs w:val="16"/>
                        </w:rPr>
                        <w:t>CC</w:t>
                      </w:r>
                      <w:r w:rsidRPr="00A14EF1">
                        <w:rPr>
                          <w:sz w:val="16"/>
                          <w:szCs w:val="16"/>
                        </w:rPr>
                        <w:t>: Curriculum Committee</w:t>
                      </w:r>
                      <w:r>
                        <w:rPr>
                          <w:sz w:val="16"/>
                          <w:szCs w:val="16"/>
                        </w:rPr>
                        <w:t xml:space="preserve"> </w:t>
                      </w:r>
                      <w:r w:rsidRPr="00A14EF1">
                        <w:rPr>
                          <w:b/>
                          <w:sz w:val="16"/>
                          <w:szCs w:val="16"/>
                        </w:rPr>
                        <w:t xml:space="preserve"> CTE</w:t>
                      </w:r>
                      <w:r w:rsidRPr="00A14EF1">
                        <w:rPr>
                          <w:sz w:val="16"/>
                          <w:szCs w:val="16"/>
                        </w:rPr>
                        <w:t>: Center for Teaching Excellence</w:t>
                      </w:r>
                      <w:r>
                        <w:rPr>
                          <w:sz w:val="18"/>
                          <w:szCs w:val="18"/>
                        </w:rPr>
                        <w:t xml:space="preserve"> </w:t>
                      </w:r>
                      <w:r>
                        <w:rPr>
                          <w:sz w:val="18"/>
                          <w:szCs w:val="18"/>
                        </w:rPr>
                        <w:tab/>
                      </w:r>
                    </w:p>
                  </w:txbxContent>
                </v:textbox>
                <w10:wrap type="square"/>
              </v:shape>
            </w:pict>
          </mc:Fallback>
        </mc:AlternateContent>
      </w:r>
    </w:p>
    <w:tbl>
      <w:tblPr>
        <w:tblStyle w:val="TableGrid"/>
        <w:tblW w:w="0" w:type="auto"/>
        <w:tblInd w:w="-342" w:type="dxa"/>
        <w:tblLook w:val="04A0" w:firstRow="1" w:lastRow="0" w:firstColumn="1" w:lastColumn="0" w:noHBand="0" w:noVBand="1"/>
      </w:tblPr>
      <w:tblGrid>
        <w:gridCol w:w="2384"/>
        <w:gridCol w:w="1986"/>
        <w:gridCol w:w="2667"/>
        <w:gridCol w:w="3375"/>
      </w:tblGrid>
      <w:tr w:rsidR="00DF3099" w:rsidRPr="008A4054" w14:paraId="51D618FF" w14:textId="77777777" w:rsidTr="00DF3099">
        <w:tc>
          <w:tcPr>
            <w:tcW w:w="0" w:type="auto"/>
            <w:gridSpan w:val="4"/>
            <w:shd w:val="clear" w:color="auto" w:fill="99CCFF"/>
          </w:tcPr>
          <w:p w14:paraId="052E072E" w14:textId="77777777" w:rsidR="00DF3099" w:rsidRPr="008A4054" w:rsidRDefault="00DF3099" w:rsidP="007F06CC">
            <w:pPr>
              <w:rPr>
                <w:rFonts w:ascii="Calibri" w:hAnsi="Calibri"/>
                <w:b/>
                <w:sz w:val="22"/>
                <w:szCs w:val="22"/>
              </w:rPr>
            </w:pPr>
            <w:r w:rsidRPr="008A4054">
              <w:rPr>
                <w:rFonts w:ascii="Calibri" w:hAnsi="Calibri"/>
                <w:b/>
                <w:sz w:val="22"/>
                <w:szCs w:val="22"/>
              </w:rPr>
              <w:t>BUSINESS OPERATIONS</w:t>
            </w:r>
          </w:p>
        </w:tc>
      </w:tr>
      <w:tr w:rsidR="000B06E8" w:rsidRPr="008A4054" w14:paraId="06BE3D2C" w14:textId="77777777" w:rsidTr="00DF3099">
        <w:tc>
          <w:tcPr>
            <w:tcW w:w="0" w:type="auto"/>
            <w:shd w:val="clear" w:color="auto" w:fill="B2BEC3" w:themeFill="accent1" w:themeFillTint="66"/>
          </w:tcPr>
          <w:p w14:paraId="1D89CBB3" w14:textId="77777777" w:rsidR="00DF3099" w:rsidRPr="008A4054" w:rsidRDefault="00DF3099" w:rsidP="007F06CC">
            <w:pPr>
              <w:jc w:val="center"/>
              <w:rPr>
                <w:rFonts w:ascii="Calibri" w:hAnsi="Calibri"/>
                <w:b/>
                <w:sz w:val="22"/>
                <w:szCs w:val="22"/>
              </w:rPr>
            </w:pPr>
            <w:r w:rsidRPr="008A4054">
              <w:rPr>
                <w:rFonts w:ascii="Calibri" w:hAnsi="Calibri"/>
                <w:b/>
                <w:sz w:val="22"/>
                <w:szCs w:val="22"/>
              </w:rPr>
              <w:t>Measures</w:t>
            </w:r>
          </w:p>
        </w:tc>
        <w:tc>
          <w:tcPr>
            <w:tcW w:w="0" w:type="auto"/>
            <w:shd w:val="clear" w:color="auto" w:fill="B2BEC3" w:themeFill="accent1" w:themeFillTint="66"/>
          </w:tcPr>
          <w:p w14:paraId="4A585C6E" w14:textId="77777777" w:rsidR="00DF3099" w:rsidRPr="008A4054" w:rsidRDefault="00DF3099" w:rsidP="007F06CC">
            <w:pPr>
              <w:jc w:val="center"/>
              <w:rPr>
                <w:rFonts w:ascii="Calibri" w:hAnsi="Calibri"/>
                <w:b/>
                <w:sz w:val="22"/>
                <w:szCs w:val="22"/>
              </w:rPr>
            </w:pPr>
            <w:r w:rsidRPr="008A4054">
              <w:rPr>
                <w:rFonts w:ascii="Calibri" w:hAnsi="Calibri"/>
                <w:b/>
                <w:sz w:val="22"/>
                <w:szCs w:val="22"/>
              </w:rPr>
              <w:t>Sources</w:t>
            </w:r>
          </w:p>
        </w:tc>
        <w:tc>
          <w:tcPr>
            <w:tcW w:w="0" w:type="auto"/>
            <w:shd w:val="clear" w:color="auto" w:fill="B2BEC3" w:themeFill="accent1" w:themeFillTint="66"/>
          </w:tcPr>
          <w:p w14:paraId="3ADECFF6" w14:textId="77777777" w:rsidR="00DF3099" w:rsidRPr="008A4054" w:rsidRDefault="00DF3099" w:rsidP="007F06CC">
            <w:pPr>
              <w:jc w:val="center"/>
              <w:rPr>
                <w:rFonts w:ascii="Calibri" w:hAnsi="Calibri"/>
                <w:b/>
                <w:sz w:val="22"/>
                <w:szCs w:val="22"/>
              </w:rPr>
            </w:pPr>
            <w:r w:rsidRPr="008A4054">
              <w:rPr>
                <w:rFonts w:ascii="Calibri" w:hAnsi="Calibri"/>
                <w:b/>
                <w:sz w:val="22"/>
                <w:szCs w:val="22"/>
              </w:rPr>
              <w:t>Methods</w:t>
            </w:r>
          </w:p>
        </w:tc>
        <w:tc>
          <w:tcPr>
            <w:tcW w:w="0" w:type="auto"/>
            <w:shd w:val="clear" w:color="auto" w:fill="B2BEC3" w:themeFill="accent1" w:themeFillTint="66"/>
          </w:tcPr>
          <w:p w14:paraId="10DCEEB5" w14:textId="77777777" w:rsidR="00DF3099" w:rsidRPr="008A4054" w:rsidRDefault="00DF3099" w:rsidP="007F06CC">
            <w:pPr>
              <w:jc w:val="center"/>
              <w:rPr>
                <w:rFonts w:ascii="Calibri" w:hAnsi="Calibri"/>
                <w:b/>
                <w:sz w:val="22"/>
                <w:szCs w:val="22"/>
              </w:rPr>
            </w:pPr>
            <w:r w:rsidRPr="008A4054">
              <w:rPr>
                <w:rFonts w:ascii="Calibri" w:hAnsi="Calibri"/>
                <w:b/>
                <w:sz w:val="22"/>
                <w:szCs w:val="22"/>
              </w:rPr>
              <w:t>Analysis</w:t>
            </w:r>
          </w:p>
        </w:tc>
      </w:tr>
      <w:tr w:rsidR="000B06E8" w:rsidRPr="008A4054" w14:paraId="68BB48D6" w14:textId="77777777" w:rsidTr="00DF3099">
        <w:tc>
          <w:tcPr>
            <w:tcW w:w="0" w:type="auto"/>
          </w:tcPr>
          <w:p w14:paraId="16119515" w14:textId="77777777" w:rsidR="00DF3099" w:rsidRPr="00A14EF1" w:rsidRDefault="00DF3099" w:rsidP="007F06CC">
            <w:pPr>
              <w:rPr>
                <w:rFonts w:ascii="Calibri" w:hAnsi="Calibri"/>
                <w:sz w:val="20"/>
                <w:szCs w:val="20"/>
              </w:rPr>
            </w:pPr>
            <w:r w:rsidRPr="00A14EF1">
              <w:rPr>
                <w:rFonts w:ascii="Calibri" w:hAnsi="Calibri"/>
                <w:sz w:val="20"/>
                <w:szCs w:val="20"/>
              </w:rPr>
              <w:t>% Programs of Study goals aligned to LCC goals</w:t>
            </w:r>
          </w:p>
        </w:tc>
        <w:tc>
          <w:tcPr>
            <w:tcW w:w="0" w:type="auto"/>
          </w:tcPr>
          <w:p w14:paraId="3B9112C2" w14:textId="77777777" w:rsidR="00DF3099" w:rsidRPr="00A14EF1" w:rsidRDefault="00DF3099" w:rsidP="007F06CC">
            <w:pPr>
              <w:rPr>
                <w:rFonts w:ascii="Calibri" w:hAnsi="Calibri"/>
                <w:sz w:val="20"/>
                <w:szCs w:val="20"/>
              </w:rPr>
            </w:pPr>
            <w:r w:rsidRPr="00A14EF1">
              <w:rPr>
                <w:rFonts w:ascii="Calibri" w:hAnsi="Calibri"/>
                <w:sz w:val="20"/>
                <w:szCs w:val="20"/>
              </w:rPr>
              <w:t xml:space="preserve">CASL, Faculty, Staff, Administration </w:t>
            </w:r>
          </w:p>
        </w:tc>
        <w:tc>
          <w:tcPr>
            <w:tcW w:w="0" w:type="auto"/>
          </w:tcPr>
          <w:p w14:paraId="478964EF" w14:textId="4E2B5F0E" w:rsidR="00DF3099" w:rsidRPr="00A14EF1" w:rsidRDefault="00DF3099" w:rsidP="00705C9B">
            <w:pPr>
              <w:rPr>
                <w:rFonts w:ascii="Calibri" w:hAnsi="Calibri"/>
                <w:sz w:val="20"/>
                <w:szCs w:val="20"/>
              </w:rPr>
            </w:pPr>
            <w:r w:rsidRPr="00A14EF1">
              <w:rPr>
                <w:rFonts w:ascii="Calibri" w:hAnsi="Calibri"/>
                <w:sz w:val="20"/>
                <w:szCs w:val="20"/>
              </w:rPr>
              <w:t xml:space="preserve">Program Review </w:t>
            </w:r>
            <w:r>
              <w:rPr>
                <w:rFonts w:ascii="Calibri" w:hAnsi="Calibri"/>
                <w:sz w:val="20"/>
                <w:szCs w:val="20"/>
              </w:rPr>
              <w:t>questionnaire</w:t>
            </w:r>
            <w:r w:rsidRPr="00A14EF1">
              <w:rPr>
                <w:rFonts w:ascii="Calibri" w:hAnsi="Calibri"/>
                <w:sz w:val="20"/>
                <w:szCs w:val="20"/>
              </w:rPr>
              <w:t xml:space="preserve"> </w:t>
            </w:r>
          </w:p>
        </w:tc>
        <w:tc>
          <w:tcPr>
            <w:tcW w:w="0" w:type="auto"/>
          </w:tcPr>
          <w:p w14:paraId="70EA8CC7" w14:textId="77777777" w:rsidR="00DF3099" w:rsidRDefault="00DF3099" w:rsidP="007F06CC">
            <w:pPr>
              <w:rPr>
                <w:rFonts w:ascii="Calibri" w:hAnsi="Calibri"/>
                <w:sz w:val="20"/>
                <w:szCs w:val="20"/>
              </w:rPr>
            </w:pPr>
            <w:r>
              <w:rPr>
                <w:rFonts w:ascii="Calibri" w:hAnsi="Calibri"/>
                <w:sz w:val="20"/>
                <w:szCs w:val="20"/>
              </w:rPr>
              <w:t># Program of Study/# Programs of Study aligned to LCC goals</w:t>
            </w:r>
          </w:p>
          <w:p w14:paraId="7CF1F119" w14:textId="71278F53" w:rsidR="00DF3099" w:rsidRPr="00705C9B" w:rsidRDefault="00DF3099" w:rsidP="007F06CC">
            <w:pPr>
              <w:rPr>
                <w:rFonts w:ascii="Calibri" w:hAnsi="Calibri"/>
                <w:i/>
                <w:color w:val="0000FF"/>
                <w:sz w:val="20"/>
                <w:szCs w:val="20"/>
              </w:rPr>
            </w:pPr>
            <w:r w:rsidRPr="00705C9B">
              <w:rPr>
                <w:rFonts w:ascii="Calibri" w:hAnsi="Calibri"/>
                <w:i/>
                <w:color w:val="0000FF"/>
                <w:sz w:val="20"/>
                <w:szCs w:val="20"/>
              </w:rPr>
              <w:t>Pilot started Spring, 2016</w:t>
            </w:r>
          </w:p>
        </w:tc>
      </w:tr>
      <w:tr w:rsidR="000B06E8" w:rsidRPr="008A4054" w14:paraId="45A60242" w14:textId="77777777" w:rsidTr="00DF3099">
        <w:tc>
          <w:tcPr>
            <w:tcW w:w="0" w:type="auto"/>
          </w:tcPr>
          <w:p w14:paraId="73E62436" w14:textId="5FF690E2" w:rsidR="00DF3099" w:rsidRPr="00A14EF1" w:rsidRDefault="00DF3099" w:rsidP="00070A6B">
            <w:pPr>
              <w:rPr>
                <w:rFonts w:ascii="Calibri" w:hAnsi="Calibri"/>
                <w:sz w:val="20"/>
                <w:szCs w:val="20"/>
              </w:rPr>
            </w:pPr>
            <w:r w:rsidRPr="00A14EF1">
              <w:rPr>
                <w:rFonts w:ascii="Calibri" w:hAnsi="Calibri"/>
                <w:sz w:val="20"/>
                <w:szCs w:val="20"/>
              </w:rPr>
              <w:t xml:space="preserve">% </w:t>
            </w:r>
            <w:r>
              <w:rPr>
                <w:rFonts w:ascii="Calibri" w:hAnsi="Calibri"/>
                <w:sz w:val="20"/>
                <w:szCs w:val="20"/>
              </w:rPr>
              <w:t>Reported links from Program of Study learning outcomes to LCC’s institutional learning outcomes</w:t>
            </w:r>
          </w:p>
        </w:tc>
        <w:tc>
          <w:tcPr>
            <w:tcW w:w="0" w:type="auto"/>
          </w:tcPr>
          <w:p w14:paraId="5F083017" w14:textId="2E69B9C9" w:rsidR="00DF3099" w:rsidRPr="00A14EF1" w:rsidRDefault="00DF3099" w:rsidP="007F06CC">
            <w:pPr>
              <w:rPr>
                <w:rFonts w:ascii="Calibri" w:hAnsi="Calibri"/>
                <w:sz w:val="20"/>
                <w:szCs w:val="20"/>
              </w:rPr>
            </w:pPr>
            <w:r w:rsidRPr="00A14EF1">
              <w:rPr>
                <w:rFonts w:ascii="Calibri" w:hAnsi="Calibri"/>
                <w:sz w:val="20"/>
                <w:szCs w:val="20"/>
              </w:rPr>
              <w:t xml:space="preserve">CASL, Faculty, Staff, Administration </w:t>
            </w:r>
          </w:p>
        </w:tc>
        <w:tc>
          <w:tcPr>
            <w:tcW w:w="0" w:type="auto"/>
          </w:tcPr>
          <w:p w14:paraId="5829C197" w14:textId="2909217F" w:rsidR="00DF3099" w:rsidRPr="00A14EF1" w:rsidRDefault="00DF3099" w:rsidP="007F06CC">
            <w:pPr>
              <w:rPr>
                <w:rFonts w:ascii="Calibri" w:hAnsi="Calibri"/>
                <w:sz w:val="20"/>
                <w:szCs w:val="20"/>
              </w:rPr>
            </w:pPr>
            <w:r w:rsidRPr="00A14EF1">
              <w:rPr>
                <w:rFonts w:ascii="Calibri" w:hAnsi="Calibri"/>
                <w:sz w:val="20"/>
                <w:szCs w:val="20"/>
              </w:rPr>
              <w:t xml:space="preserve">ELO Template </w:t>
            </w:r>
          </w:p>
        </w:tc>
        <w:tc>
          <w:tcPr>
            <w:tcW w:w="0" w:type="auto"/>
          </w:tcPr>
          <w:p w14:paraId="54F49286" w14:textId="7E3920F2" w:rsidR="00DF3099" w:rsidRPr="00A14EF1" w:rsidRDefault="00DF3099" w:rsidP="007F06CC">
            <w:pPr>
              <w:rPr>
                <w:rFonts w:ascii="Calibri" w:hAnsi="Calibri"/>
                <w:sz w:val="20"/>
                <w:szCs w:val="20"/>
              </w:rPr>
            </w:pPr>
            <w:r>
              <w:rPr>
                <w:rFonts w:ascii="Calibri" w:hAnsi="Calibri"/>
                <w:sz w:val="20"/>
                <w:szCs w:val="20"/>
              </w:rPr>
              <w:t># Programs of Study/# Programs of Study reporting links to ELOs; Analyzed at institutional &amp; program-levels by ELO type</w:t>
            </w:r>
          </w:p>
        </w:tc>
      </w:tr>
      <w:tr w:rsidR="00DF3099" w:rsidRPr="008A4054" w14:paraId="119BA417" w14:textId="77777777" w:rsidTr="00DF3099">
        <w:tc>
          <w:tcPr>
            <w:tcW w:w="0" w:type="auto"/>
            <w:gridSpan w:val="4"/>
            <w:shd w:val="clear" w:color="auto" w:fill="99CCFF"/>
          </w:tcPr>
          <w:p w14:paraId="0CB1872E" w14:textId="77777777" w:rsidR="00DF3099" w:rsidRPr="008A4054" w:rsidRDefault="00DF3099" w:rsidP="007F06CC">
            <w:pPr>
              <w:rPr>
                <w:rFonts w:ascii="Calibri" w:hAnsi="Calibri"/>
                <w:b/>
                <w:sz w:val="22"/>
                <w:szCs w:val="22"/>
              </w:rPr>
            </w:pPr>
            <w:r w:rsidRPr="008A4054">
              <w:rPr>
                <w:rFonts w:ascii="Calibri" w:hAnsi="Calibri"/>
                <w:b/>
                <w:sz w:val="22"/>
                <w:szCs w:val="22"/>
              </w:rPr>
              <w:t>STUDENT</w:t>
            </w:r>
          </w:p>
        </w:tc>
      </w:tr>
      <w:tr w:rsidR="000B06E8" w:rsidRPr="008A4054" w14:paraId="75B46B51" w14:textId="77777777" w:rsidTr="00DF3099">
        <w:tc>
          <w:tcPr>
            <w:tcW w:w="0" w:type="auto"/>
          </w:tcPr>
          <w:p w14:paraId="1AF2B88F" w14:textId="4B51C17D" w:rsidR="00DF3099" w:rsidRPr="00A14EF1" w:rsidRDefault="00DF3099" w:rsidP="007F06CC">
            <w:pPr>
              <w:rPr>
                <w:rFonts w:ascii="Calibri" w:hAnsi="Calibri"/>
                <w:sz w:val="20"/>
                <w:szCs w:val="20"/>
              </w:rPr>
            </w:pPr>
            <w:r w:rsidRPr="00A14EF1">
              <w:rPr>
                <w:rFonts w:ascii="Calibri" w:hAnsi="Calibri"/>
                <w:sz w:val="20"/>
                <w:szCs w:val="20"/>
              </w:rPr>
              <w:t xml:space="preserve">% </w:t>
            </w:r>
            <w:r>
              <w:rPr>
                <w:rFonts w:ascii="Calibri" w:hAnsi="Calibri"/>
                <w:sz w:val="20"/>
                <w:szCs w:val="20"/>
              </w:rPr>
              <w:t>Cognitive level of learning outcome</w:t>
            </w:r>
          </w:p>
        </w:tc>
        <w:tc>
          <w:tcPr>
            <w:tcW w:w="0" w:type="auto"/>
          </w:tcPr>
          <w:p w14:paraId="6C9F143F" w14:textId="1A78B613" w:rsidR="00DF3099" w:rsidRPr="00A14EF1" w:rsidRDefault="00DF3099" w:rsidP="007F06CC">
            <w:pPr>
              <w:rPr>
                <w:rFonts w:ascii="Calibri" w:hAnsi="Calibri"/>
                <w:sz w:val="20"/>
                <w:szCs w:val="20"/>
              </w:rPr>
            </w:pPr>
            <w:r w:rsidRPr="00A14EF1">
              <w:rPr>
                <w:rFonts w:ascii="Calibri" w:hAnsi="Calibri"/>
                <w:sz w:val="20"/>
                <w:szCs w:val="20"/>
              </w:rPr>
              <w:t>CASL, Faculty, Staff, Administration</w:t>
            </w:r>
          </w:p>
        </w:tc>
        <w:tc>
          <w:tcPr>
            <w:tcW w:w="0" w:type="auto"/>
          </w:tcPr>
          <w:p w14:paraId="2DD8ADF9" w14:textId="23EDAC54" w:rsidR="00DF3099" w:rsidRPr="00A14EF1" w:rsidRDefault="00DF3099" w:rsidP="007F06CC">
            <w:pPr>
              <w:rPr>
                <w:rFonts w:ascii="Calibri" w:hAnsi="Calibri"/>
                <w:sz w:val="20"/>
                <w:szCs w:val="20"/>
              </w:rPr>
            </w:pPr>
            <w:r w:rsidRPr="00A14EF1">
              <w:rPr>
                <w:rFonts w:ascii="Calibri" w:hAnsi="Calibri"/>
                <w:sz w:val="20"/>
                <w:szCs w:val="20"/>
              </w:rPr>
              <w:t xml:space="preserve">Program of Study Learning Outcomes Rubric </w:t>
            </w:r>
          </w:p>
        </w:tc>
        <w:tc>
          <w:tcPr>
            <w:tcW w:w="0" w:type="auto"/>
          </w:tcPr>
          <w:p w14:paraId="6C96F150" w14:textId="6FF8D98C" w:rsidR="00DF3099" w:rsidRPr="00A14EF1" w:rsidRDefault="00DF3099" w:rsidP="007F06CC">
            <w:pPr>
              <w:rPr>
                <w:rFonts w:ascii="Calibri" w:hAnsi="Calibri"/>
                <w:sz w:val="20"/>
                <w:szCs w:val="20"/>
              </w:rPr>
            </w:pPr>
            <w:r>
              <w:rPr>
                <w:rFonts w:ascii="Calibri" w:hAnsi="Calibri"/>
                <w:sz w:val="20"/>
                <w:szCs w:val="20"/>
              </w:rPr>
              <w:t>Bloom’s Cognitive level/# of learning outcomes</w:t>
            </w:r>
            <w:r w:rsidRPr="00A14EF1">
              <w:rPr>
                <w:rFonts w:ascii="Calibri" w:hAnsi="Calibri"/>
                <w:sz w:val="20"/>
                <w:szCs w:val="20"/>
              </w:rPr>
              <w:t>; Aligned with Program Review cycles</w:t>
            </w:r>
          </w:p>
        </w:tc>
      </w:tr>
      <w:tr w:rsidR="000B06E8" w:rsidRPr="008A4054" w14:paraId="2A984F39" w14:textId="77777777" w:rsidTr="00DF3099">
        <w:tc>
          <w:tcPr>
            <w:tcW w:w="0" w:type="auto"/>
          </w:tcPr>
          <w:p w14:paraId="02E98102" w14:textId="6679DD1F" w:rsidR="00DF3099" w:rsidRPr="00A14EF1" w:rsidRDefault="00DF3099" w:rsidP="00070A6B">
            <w:pPr>
              <w:rPr>
                <w:rFonts w:ascii="Calibri" w:hAnsi="Calibri"/>
                <w:sz w:val="20"/>
                <w:szCs w:val="20"/>
              </w:rPr>
            </w:pPr>
            <w:r>
              <w:rPr>
                <w:rFonts w:ascii="Calibri" w:hAnsi="Calibri"/>
                <w:sz w:val="20"/>
                <w:szCs w:val="20"/>
              </w:rPr>
              <w:t>% M</w:t>
            </w:r>
            <w:r w:rsidRPr="00A14EF1">
              <w:rPr>
                <w:rFonts w:ascii="Calibri" w:hAnsi="Calibri"/>
                <w:sz w:val="20"/>
                <w:szCs w:val="20"/>
              </w:rPr>
              <w:t>atch rate</w:t>
            </w:r>
          </w:p>
        </w:tc>
        <w:tc>
          <w:tcPr>
            <w:tcW w:w="0" w:type="auto"/>
          </w:tcPr>
          <w:p w14:paraId="5306DABB" w14:textId="77777777" w:rsidR="00DF3099" w:rsidRPr="00A14EF1" w:rsidRDefault="00DF3099" w:rsidP="007F06CC">
            <w:pPr>
              <w:rPr>
                <w:rFonts w:ascii="Calibri" w:hAnsi="Calibri"/>
                <w:sz w:val="20"/>
                <w:szCs w:val="20"/>
              </w:rPr>
            </w:pPr>
            <w:r w:rsidRPr="00A14EF1">
              <w:rPr>
                <w:rFonts w:ascii="Calibri" w:hAnsi="Calibri"/>
                <w:sz w:val="20"/>
                <w:szCs w:val="20"/>
              </w:rPr>
              <w:t>CASL, Faculty, Staff, Administration</w:t>
            </w:r>
          </w:p>
        </w:tc>
        <w:tc>
          <w:tcPr>
            <w:tcW w:w="0" w:type="auto"/>
          </w:tcPr>
          <w:p w14:paraId="490209D5" w14:textId="77777777" w:rsidR="00DF3099" w:rsidRPr="00A14EF1" w:rsidRDefault="00DF3099" w:rsidP="007F06CC">
            <w:pPr>
              <w:rPr>
                <w:rFonts w:ascii="Calibri" w:hAnsi="Calibri"/>
                <w:sz w:val="20"/>
                <w:szCs w:val="20"/>
              </w:rPr>
            </w:pPr>
            <w:r w:rsidRPr="00A14EF1">
              <w:rPr>
                <w:rFonts w:ascii="Calibri" w:hAnsi="Calibri"/>
                <w:sz w:val="20"/>
                <w:szCs w:val="20"/>
              </w:rPr>
              <w:t xml:space="preserve">Program of Study Learning Outcomes Rubric </w:t>
            </w:r>
          </w:p>
        </w:tc>
        <w:tc>
          <w:tcPr>
            <w:tcW w:w="0" w:type="auto"/>
          </w:tcPr>
          <w:p w14:paraId="6E400F50" w14:textId="53322A4F" w:rsidR="00DF3099" w:rsidRPr="00A14EF1" w:rsidRDefault="00DF3099" w:rsidP="001403DF">
            <w:pPr>
              <w:rPr>
                <w:rFonts w:ascii="Calibri" w:hAnsi="Calibri"/>
                <w:sz w:val="20"/>
                <w:szCs w:val="20"/>
              </w:rPr>
            </w:pPr>
            <w:r>
              <w:rPr>
                <w:rFonts w:ascii="Calibri" w:hAnsi="Calibri"/>
                <w:sz w:val="20"/>
                <w:szCs w:val="20"/>
              </w:rPr>
              <w:t>Bloom’s cognitive level/# assessment method alignment matches</w:t>
            </w:r>
            <w:r w:rsidRPr="00A14EF1">
              <w:rPr>
                <w:rFonts w:ascii="Calibri" w:hAnsi="Calibri"/>
                <w:sz w:val="20"/>
                <w:szCs w:val="20"/>
              </w:rPr>
              <w:t>; Aligned with Program Review cycles</w:t>
            </w:r>
          </w:p>
        </w:tc>
      </w:tr>
      <w:tr w:rsidR="000B06E8" w:rsidRPr="008A4054" w14:paraId="264120D4" w14:textId="77777777" w:rsidTr="00DF3099">
        <w:tc>
          <w:tcPr>
            <w:tcW w:w="0" w:type="auto"/>
          </w:tcPr>
          <w:p w14:paraId="30240B8F" w14:textId="04B7F033" w:rsidR="00DF3099" w:rsidRPr="00A14EF1" w:rsidRDefault="00DF3099" w:rsidP="00357E71">
            <w:pPr>
              <w:rPr>
                <w:rFonts w:ascii="Calibri" w:hAnsi="Calibri"/>
                <w:sz w:val="20"/>
                <w:szCs w:val="20"/>
              </w:rPr>
            </w:pPr>
            <w:r>
              <w:rPr>
                <w:rFonts w:ascii="Calibri" w:hAnsi="Calibri"/>
                <w:sz w:val="20"/>
                <w:szCs w:val="20"/>
              </w:rPr>
              <w:t>Average s</w:t>
            </w:r>
            <w:r w:rsidRPr="00A14EF1">
              <w:rPr>
                <w:rFonts w:ascii="Calibri" w:hAnsi="Calibri"/>
                <w:sz w:val="20"/>
                <w:szCs w:val="20"/>
              </w:rPr>
              <w:t xml:space="preserve">tudent </w:t>
            </w:r>
            <w:r>
              <w:rPr>
                <w:rFonts w:ascii="Calibri" w:hAnsi="Calibri"/>
                <w:sz w:val="20"/>
                <w:szCs w:val="20"/>
              </w:rPr>
              <w:t>assessment s</w:t>
            </w:r>
            <w:r w:rsidRPr="00A14EF1">
              <w:rPr>
                <w:rFonts w:ascii="Calibri" w:hAnsi="Calibri"/>
                <w:sz w:val="20"/>
                <w:szCs w:val="20"/>
              </w:rPr>
              <w:t xml:space="preserve">atisfaction </w:t>
            </w:r>
          </w:p>
        </w:tc>
        <w:tc>
          <w:tcPr>
            <w:tcW w:w="0" w:type="auto"/>
          </w:tcPr>
          <w:p w14:paraId="71DC3C38" w14:textId="77777777" w:rsidR="00DF3099" w:rsidRPr="00A14EF1" w:rsidRDefault="00DF3099" w:rsidP="007F06CC">
            <w:pPr>
              <w:rPr>
                <w:rFonts w:ascii="Calibri" w:hAnsi="Calibri"/>
                <w:sz w:val="20"/>
                <w:szCs w:val="20"/>
              </w:rPr>
            </w:pPr>
            <w:r w:rsidRPr="00A14EF1">
              <w:rPr>
                <w:rFonts w:ascii="Calibri" w:hAnsi="Calibri"/>
                <w:sz w:val="20"/>
                <w:szCs w:val="20"/>
              </w:rPr>
              <w:t xml:space="preserve">IT, CDS, Students </w:t>
            </w:r>
          </w:p>
        </w:tc>
        <w:tc>
          <w:tcPr>
            <w:tcW w:w="0" w:type="auto"/>
          </w:tcPr>
          <w:p w14:paraId="28FF374B" w14:textId="77777777" w:rsidR="00DF3099" w:rsidRPr="00A14EF1" w:rsidRDefault="00DF3099" w:rsidP="007F06CC">
            <w:pPr>
              <w:rPr>
                <w:rFonts w:ascii="Calibri" w:hAnsi="Calibri"/>
                <w:sz w:val="20"/>
                <w:szCs w:val="20"/>
              </w:rPr>
            </w:pPr>
            <w:r w:rsidRPr="00A14EF1">
              <w:rPr>
                <w:rFonts w:ascii="Calibri" w:hAnsi="Calibri"/>
                <w:sz w:val="20"/>
                <w:szCs w:val="20"/>
              </w:rPr>
              <w:t xml:space="preserve">IDEA Student Survey </w:t>
            </w:r>
          </w:p>
        </w:tc>
        <w:tc>
          <w:tcPr>
            <w:tcW w:w="0" w:type="auto"/>
          </w:tcPr>
          <w:p w14:paraId="61F8F0F7" w14:textId="07CBDC2D" w:rsidR="00DF3099" w:rsidRPr="00A14EF1" w:rsidRDefault="00DF3099" w:rsidP="00357E71">
            <w:pPr>
              <w:rPr>
                <w:rFonts w:ascii="Calibri" w:hAnsi="Calibri"/>
                <w:sz w:val="20"/>
                <w:szCs w:val="20"/>
              </w:rPr>
            </w:pPr>
            <w:r w:rsidRPr="00A14EF1">
              <w:rPr>
                <w:rFonts w:ascii="Calibri" w:hAnsi="Calibri"/>
                <w:sz w:val="20"/>
                <w:szCs w:val="20"/>
              </w:rPr>
              <w:t xml:space="preserve">Select assessment questions analyzed </w:t>
            </w:r>
            <w:r>
              <w:rPr>
                <w:rFonts w:ascii="Calibri" w:hAnsi="Calibri"/>
                <w:sz w:val="20"/>
                <w:szCs w:val="20"/>
              </w:rPr>
              <w:t>by mean &amp; standard deviation</w:t>
            </w:r>
          </w:p>
        </w:tc>
      </w:tr>
      <w:tr w:rsidR="00DF3099" w:rsidRPr="008A4054" w14:paraId="148B4C69" w14:textId="77777777" w:rsidTr="00DF3099">
        <w:tc>
          <w:tcPr>
            <w:tcW w:w="0" w:type="auto"/>
            <w:gridSpan w:val="4"/>
            <w:shd w:val="clear" w:color="auto" w:fill="99CCFF"/>
          </w:tcPr>
          <w:p w14:paraId="2B952A7A" w14:textId="77777777" w:rsidR="00DF3099" w:rsidRPr="003F1E77" w:rsidRDefault="00DF3099" w:rsidP="007F06CC">
            <w:pPr>
              <w:rPr>
                <w:rFonts w:ascii="Calibri" w:hAnsi="Calibri"/>
                <w:b/>
                <w:sz w:val="22"/>
                <w:szCs w:val="22"/>
              </w:rPr>
            </w:pPr>
            <w:r w:rsidRPr="003F1E77">
              <w:rPr>
                <w:rFonts w:ascii="Calibri" w:hAnsi="Calibri"/>
                <w:b/>
                <w:sz w:val="22"/>
                <w:szCs w:val="22"/>
              </w:rPr>
              <w:t>ASSESSMENT PROCESSES</w:t>
            </w:r>
          </w:p>
        </w:tc>
      </w:tr>
      <w:tr w:rsidR="000B06E8" w:rsidRPr="008A4054" w14:paraId="082E0FA1" w14:textId="77777777" w:rsidTr="00DF3099">
        <w:tc>
          <w:tcPr>
            <w:tcW w:w="0" w:type="auto"/>
          </w:tcPr>
          <w:p w14:paraId="5F5D9D33" w14:textId="75415E71" w:rsidR="00DF3099" w:rsidRPr="00A14EF1" w:rsidRDefault="00DF3099" w:rsidP="00705C9B">
            <w:pPr>
              <w:rPr>
                <w:rFonts w:ascii="Calibri" w:hAnsi="Calibri"/>
                <w:sz w:val="20"/>
                <w:szCs w:val="20"/>
              </w:rPr>
            </w:pPr>
            <w:r w:rsidRPr="00A14EF1">
              <w:rPr>
                <w:rFonts w:ascii="Calibri" w:hAnsi="Calibri"/>
                <w:sz w:val="20"/>
                <w:szCs w:val="20"/>
              </w:rPr>
              <w:t xml:space="preserve">% </w:t>
            </w:r>
            <w:r>
              <w:rPr>
                <w:rFonts w:ascii="Calibri" w:hAnsi="Calibri"/>
                <w:sz w:val="20"/>
                <w:szCs w:val="20"/>
              </w:rPr>
              <w:t xml:space="preserve">Reported </w:t>
            </w:r>
            <w:r w:rsidRPr="00A14EF1">
              <w:rPr>
                <w:rFonts w:ascii="Calibri" w:hAnsi="Calibri"/>
                <w:sz w:val="20"/>
                <w:szCs w:val="20"/>
              </w:rPr>
              <w:t xml:space="preserve">Program of Study learning outcomes </w:t>
            </w:r>
          </w:p>
        </w:tc>
        <w:tc>
          <w:tcPr>
            <w:tcW w:w="0" w:type="auto"/>
          </w:tcPr>
          <w:p w14:paraId="25648712" w14:textId="67D1030B" w:rsidR="00DF3099" w:rsidRPr="00A14EF1" w:rsidRDefault="00DF3099" w:rsidP="007F06CC">
            <w:pPr>
              <w:rPr>
                <w:rFonts w:ascii="Calibri" w:hAnsi="Calibri"/>
                <w:sz w:val="20"/>
                <w:szCs w:val="20"/>
              </w:rPr>
            </w:pPr>
            <w:r w:rsidRPr="00A14EF1">
              <w:rPr>
                <w:rFonts w:ascii="Calibri" w:hAnsi="Calibri"/>
                <w:sz w:val="20"/>
                <w:szCs w:val="20"/>
              </w:rPr>
              <w:t>CASL, Faculty, Staff, Administration</w:t>
            </w:r>
          </w:p>
        </w:tc>
        <w:tc>
          <w:tcPr>
            <w:tcW w:w="0" w:type="auto"/>
          </w:tcPr>
          <w:p w14:paraId="1C9E7357" w14:textId="586EAFB6" w:rsidR="00DF3099" w:rsidRPr="00A14EF1" w:rsidRDefault="00DF3099" w:rsidP="00705C9B">
            <w:pPr>
              <w:rPr>
                <w:rFonts w:ascii="Calibri" w:hAnsi="Calibri"/>
                <w:sz w:val="20"/>
                <w:szCs w:val="20"/>
              </w:rPr>
            </w:pPr>
            <w:r w:rsidRPr="00A14EF1">
              <w:rPr>
                <w:rFonts w:ascii="Calibri" w:hAnsi="Calibri"/>
                <w:sz w:val="20"/>
                <w:szCs w:val="20"/>
              </w:rPr>
              <w:t>Program of Study Learning Outcomes Template</w:t>
            </w:r>
          </w:p>
        </w:tc>
        <w:tc>
          <w:tcPr>
            <w:tcW w:w="0" w:type="auto"/>
          </w:tcPr>
          <w:p w14:paraId="05BB941F" w14:textId="2957B67B" w:rsidR="00DF3099" w:rsidRDefault="00DF3099" w:rsidP="007F06CC">
            <w:pPr>
              <w:rPr>
                <w:rFonts w:ascii="Calibri" w:hAnsi="Calibri"/>
                <w:sz w:val="20"/>
                <w:szCs w:val="20"/>
              </w:rPr>
            </w:pPr>
            <w:r>
              <w:rPr>
                <w:rFonts w:ascii="Calibri" w:hAnsi="Calibri"/>
                <w:sz w:val="20"/>
                <w:szCs w:val="20"/>
              </w:rPr>
              <w:t># Programs of Study/# Programs of Study reporting learning outcomes</w:t>
            </w:r>
            <w:r w:rsidRPr="00A14EF1">
              <w:rPr>
                <w:rFonts w:ascii="Calibri" w:hAnsi="Calibri"/>
                <w:sz w:val="20"/>
                <w:szCs w:val="20"/>
              </w:rPr>
              <w:t>; Aligned with Program Review cycles</w:t>
            </w:r>
          </w:p>
        </w:tc>
      </w:tr>
      <w:tr w:rsidR="000B06E8" w:rsidRPr="008A4054" w14:paraId="464C8FEA" w14:textId="77777777" w:rsidTr="00DF3099">
        <w:tc>
          <w:tcPr>
            <w:tcW w:w="0" w:type="auto"/>
          </w:tcPr>
          <w:p w14:paraId="737E0B8B" w14:textId="55E22E5A" w:rsidR="00DF3099" w:rsidRPr="00A14EF1" w:rsidRDefault="00DF3099" w:rsidP="00705C9B">
            <w:pPr>
              <w:rPr>
                <w:rFonts w:ascii="Calibri" w:hAnsi="Calibri"/>
                <w:sz w:val="20"/>
                <w:szCs w:val="20"/>
              </w:rPr>
            </w:pPr>
            <w:r>
              <w:rPr>
                <w:rFonts w:ascii="Calibri" w:hAnsi="Calibri"/>
                <w:sz w:val="20"/>
                <w:szCs w:val="20"/>
              </w:rPr>
              <w:t xml:space="preserve">% Reported assessment methods </w:t>
            </w:r>
          </w:p>
        </w:tc>
        <w:tc>
          <w:tcPr>
            <w:tcW w:w="0" w:type="auto"/>
          </w:tcPr>
          <w:p w14:paraId="458DCDB4" w14:textId="6445A2D3" w:rsidR="00DF3099" w:rsidRPr="00A14EF1" w:rsidRDefault="00DF3099" w:rsidP="007F06CC">
            <w:pPr>
              <w:rPr>
                <w:rFonts w:ascii="Calibri" w:hAnsi="Calibri"/>
                <w:sz w:val="20"/>
                <w:szCs w:val="20"/>
              </w:rPr>
            </w:pPr>
            <w:r w:rsidRPr="00A14EF1">
              <w:rPr>
                <w:rFonts w:ascii="Calibri" w:hAnsi="Calibri"/>
                <w:sz w:val="20"/>
                <w:szCs w:val="20"/>
              </w:rPr>
              <w:t>CASL, Faculty, Staff, Administration</w:t>
            </w:r>
          </w:p>
        </w:tc>
        <w:tc>
          <w:tcPr>
            <w:tcW w:w="0" w:type="auto"/>
          </w:tcPr>
          <w:p w14:paraId="6C19561E" w14:textId="5E846479" w:rsidR="00DF3099" w:rsidRPr="00A14EF1" w:rsidRDefault="00DF3099" w:rsidP="00705C9B">
            <w:pPr>
              <w:rPr>
                <w:rFonts w:ascii="Calibri" w:hAnsi="Calibri"/>
                <w:sz w:val="20"/>
                <w:szCs w:val="20"/>
              </w:rPr>
            </w:pPr>
            <w:r w:rsidRPr="00A14EF1">
              <w:rPr>
                <w:rFonts w:ascii="Calibri" w:hAnsi="Calibri"/>
                <w:sz w:val="20"/>
                <w:szCs w:val="20"/>
              </w:rPr>
              <w:t>Program of Study Learning Outcomes Template</w:t>
            </w:r>
          </w:p>
        </w:tc>
        <w:tc>
          <w:tcPr>
            <w:tcW w:w="0" w:type="auto"/>
          </w:tcPr>
          <w:p w14:paraId="2309B409" w14:textId="1A8F6623" w:rsidR="00DF3099" w:rsidRDefault="00DF3099" w:rsidP="000B06E8">
            <w:pPr>
              <w:rPr>
                <w:rFonts w:ascii="Calibri" w:hAnsi="Calibri"/>
                <w:sz w:val="20"/>
                <w:szCs w:val="20"/>
              </w:rPr>
            </w:pPr>
            <w:r>
              <w:rPr>
                <w:rFonts w:ascii="Calibri" w:hAnsi="Calibri"/>
                <w:sz w:val="20"/>
                <w:szCs w:val="20"/>
              </w:rPr>
              <w:t xml:space="preserve"># </w:t>
            </w:r>
            <w:r w:rsidR="000B06E8">
              <w:rPr>
                <w:rFonts w:ascii="Calibri" w:hAnsi="Calibri"/>
                <w:sz w:val="20"/>
                <w:szCs w:val="20"/>
              </w:rPr>
              <w:t xml:space="preserve">Reported </w:t>
            </w:r>
            <w:r>
              <w:rPr>
                <w:rFonts w:ascii="Calibri" w:hAnsi="Calibri"/>
                <w:sz w:val="20"/>
                <w:szCs w:val="20"/>
              </w:rPr>
              <w:t>Programs of Study</w:t>
            </w:r>
            <w:r w:rsidR="000B06E8">
              <w:rPr>
                <w:rFonts w:ascii="Calibri" w:hAnsi="Calibri"/>
                <w:sz w:val="20"/>
                <w:szCs w:val="20"/>
              </w:rPr>
              <w:t xml:space="preserve"> learning outcomes</w:t>
            </w:r>
            <w:r>
              <w:rPr>
                <w:rFonts w:ascii="Calibri" w:hAnsi="Calibri"/>
                <w:sz w:val="20"/>
                <w:szCs w:val="20"/>
              </w:rPr>
              <w:t xml:space="preserve">/# Programs of Study reporting learning </w:t>
            </w:r>
            <w:r w:rsidR="000B06E8">
              <w:rPr>
                <w:rFonts w:ascii="Calibri" w:hAnsi="Calibri"/>
                <w:sz w:val="20"/>
                <w:szCs w:val="20"/>
              </w:rPr>
              <w:t>assessment methods</w:t>
            </w:r>
            <w:r w:rsidRPr="00A14EF1">
              <w:rPr>
                <w:rFonts w:ascii="Calibri" w:hAnsi="Calibri"/>
                <w:sz w:val="20"/>
                <w:szCs w:val="20"/>
              </w:rPr>
              <w:t>; Aligned with Program Review cycles</w:t>
            </w:r>
            <w:r w:rsidR="000B06E8">
              <w:rPr>
                <w:rFonts w:ascii="Calibri" w:hAnsi="Calibri"/>
                <w:sz w:val="20"/>
                <w:szCs w:val="20"/>
              </w:rPr>
              <w:t xml:space="preserve">; Analyzed by type </w:t>
            </w:r>
          </w:p>
        </w:tc>
      </w:tr>
      <w:tr w:rsidR="000B06E8" w:rsidRPr="008A4054" w14:paraId="56A513B4" w14:textId="77777777" w:rsidTr="00DF3099">
        <w:tc>
          <w:tcPr>
            <w:tcW w:w="0" w:type="auto"/>
          </w:tcPr>
          <w:p w14:paraId="3B6C2F4A" w14:textId="36CADFF5" w:rsidR="00DF3099" w:rsidRPr="00A14EF1" w:rsidRDefault="00DF3099" w:rsidP="007F06CC">
            <w:pPr>
              <w:rPr>
                <w:rFonts w:ascii="Calibri" w:hAnsi="Calibri"/>
                <w:sz w:val="20"/>
                <w:szCs w:val="20"/>
              </w:rPr>
            </w:pPr>
            <w:r w:rsidRPr="00A14EF1">
              <w:rPr>
                <w:rFonts w:ascii="Calibri" w:hAnsi="Calibri"/>
                <w:sz w:val="20"/>
                <w:szCs w:val="20"/>
              </w:rPr>
              <w:t xml:space="preserve">% Program of Study </w:t>
            </w:r>
            <w:r>
              <w:rPr>
                <w:rFonts w:ascii="Calibri" w:hAnsi="Calibri"/>
                <w:sz w:val="20"/>
                <w:szCs w:val="20"/>
              </w:rPr>
              <w:t>plans for collecting student learning evidence</w:t>
            </w:r>
          </w:p>
        </w:tc>
        <w:tc>
          <w:tcPr>
            <w:tcW w:w="0" w:type="auto"/>
          </w:tcPr>
          <w:p w14:paraId="405EEB25" w14:textId="1FFE7A98" w:rsidR="00DF3099" w:rsidRPr="00A14EF1" w:rsidRDefault="00DF3099" w:rsidP="007F06CC">
            <w:pPr>
              <w:rPr>
                <w:rFonts w:ascii="Calibri" w:hAnsi="Calibri"/>
                <w:sz w:val="20"/>
                <w:szCs w:val="20"/>
              </w:rPr>
            </w:pPr>
            <w:r w:rsidRPr="00A14EF1">
              <w:rPr>
                <w:rFonts w:ascii="Calibri" w:hAnsi="Calibri"/>
                <w:sz w:val="20"/>
                <w:szCs w:val="20"/>
              </w:rPr>
              <w:t xml:space="preserve">CDS, CASL, Faculty, Staff, Administration </w:t>
            </w:r>
          </w:p>
        </w:tc>
        <w:tc>
          <w:tcPr>
            <w:tcW w:w="0" w:type="auto"/>
          </w:tcPr>
          <w:p w14:paraId="146FCC4D" w14:textId="2736A036" w:rsidR="00DF3099" w:rsidRPr="00A14EF1" w:rsidRDefault="00DF3099" w:rsidP="00117BC2">
            <w:pPr>
              <w:rPr>
                <w:rFonts w:ascii="Calibri" w:hAnsi="Calibri"/>
                <w:sz w:val="20"/>
                <w:szCs w:val="20"/>
              </w:rPr>
            </w:pPr>
            <w:r w:rsidRPr="00A14EF1">
              <w:rPr>
                <w:rFonts w:ascii="Calibri" w:hAnsi="Calibri"/>
                <w:sz w:val="20"/>
                <w:szCs w:val="20"/>
              </w:rPr>
              <w:t xml:space="preserve">Focus Groups; </w:t>
            </w:r>
            <w:r>
              <w:rPr>
                <w:rFonts w:ascii="Calibri" w:hAnsi="Calibri"/>
                <w:sz w:val="20"/>
                <w:szCs w:val="20"/>
              </w:rPr>
              <w:t>Data Collection Worksheet; Annual Improvement Plan Template</w:t>
            </w:r>
          </w:p>
        </w:tc>
        <w:tc>
          <w:tcPr>
            <w:tcW w:w="0" w:type="auto"/>
          </w:tcPr>
          <w:p w14:paraId="4353B450" w14:textId="77777777" w:rsidR="00DF3099" w:rsidRDefault="00DF3099" w:rsidP="005518AD">
            <w:pPr>
              <w:rPr>
                <w:rFonts w:ascii="Calibri" w:hAnsi="Calibri"/>
                <w:sz w:val="20"/>
                <w:szCs w:val="20"/>
              </w:rPr>
            </w:pPr>
            <w:r>
              <w:rPr>
                <w:rFonts w:ascii="Calibri" w:hAnsi="Calibri"/>
                <w:sz w:val="20"/>
                <w:szCs w:val="20"/>
              </w:rPr>
              <w:t xml:space="preserve"># Program of Study/# Programs of Study assessment plans; </w:t>
            </w:r>
            <w:r w:rsidRPr="00A14EF1">
              <w:rPr>
                <w:rFonts w:ascii="Calibri" w:hAnsi="Calibri"/>
                <w:sz w:val="20"/>
                <w:szCs w:val="20"/>
              </w:rPr>
              <w:t>Aligned with Program Review cycles</w:t>
            </w:r>
          </w:p>
          <w:p w14:paraId="1FFD61FE" w14:textId="7D394A7C" w:rsidR="00DF3099" w:rsidRPr="00A14EF1" w:rsidRDefault="00DF3099" w:rsidP="007F06CC">
            <w:pPr>
              <w:rPr>
                <w:rFonts w:ascii="Calibri" w:hAnsi="Calibri"/>
                <w:sz w:val="20"/>
                <w:szCs w:val="20"/>
              </w:rPr>
            </w:pPr>
            <w:r w:rsidRPr="00705C9B">
              <w:rPr>
                <w:rFonts w:ascii="Calibri" w:hAnsi="Calibri"/>
                <w:i/>
                <w:color w:val="0000FF"/>
                <w:sz w:val="20"/>
                <w:szCs w:val="20"/>
              </w:rPr>
              <w:t>Pilot started Spring, 2016</w:t>
            </w:r>
          </w:p>
        </w:tc>
      </w:tr>
      <w:tr w:rsidR="00DF3099" w:rsidRPr="008A4054" w14:paraId="79C689F5" w14:textId="77777777" w:rsidTr="00DF3099">
        <w:tc>
          <w:tcPr>
            <w:tcW w:w="0" w:type="auto"/>
            <w:gridSpan w:val="4"/>
            <w:shd w:val="clear" w:color="auto" w:fill="99CCFF"/>
          </w:tcPr>
          <w:p w14:paraId="15F1D6B5" w14:textId="77777777" w:rsidR="00DF3099" w:rsidRPr="008A4054" w:rsidRDefault="00DF3099" w:rsidP="007F06CC">
            <w:pPr>
              <w:rPr>
                <w:rFonts w:ascii="Calibri" w:hAnsi="Calibri"/>
                <w:b/>
                <w:sz w:val="22"/>
                <w:szCs w:val="22"/>
              </w:rPr>
            </w:pPr>
            <w:r w:rsidRPr="008A4054">
              <w:rPr>
                <w:rFonts w:ascii="Calibri" w:hAnsi="Calibri"/>
                <w:b/>
                <w:sz w:val="22"/>
                <w:szCs w:val="22"/>
              </w:rPr>
              <w:t>LEARNING &amp; GROWTH</w:t>
            </w:r>
          </w:p>
        </w:tc>
      </w:tr>
      <w:tr w:rsidR="000B06E8" w:rsidRPr="008A4054" w14:paraId="327EB2E8" w14:textId="77777777" w:rsidTr="00DF3099">
        <w:tc>
          <w:tcPr>
            <w:tcW w:w="0" w:type="auto"/>
          </w:tcPr>
          <w:p w14:paraId="50A782A6" w14:textId="6892CF19" w:rsidR="00DF3099" w:rsidRPr="00A14EF1" w:rsidRDefault="00DF3099" w:rsidP="007F06CC">
            <w:pPr>
              <w:rPr>
                <w:rFonts w:ascii="Calibri" w:hAnsi="Calibri"/>
                <w:sz w:val="20"/>
                <w:szCs w:val="20"/>
              </w:rPr>
            </w:pPr>
            <w:r>
              <w:rPr>
                <w:rFonts w:ascii="Calibri" w:hAnsi="Calibri"/>
                <w:sz w:val="20"/>
                <w:szCs w:val="20"/>
              </w:rPr>
              <w:t xml:space="preserve">% Faculty use of student learning evidence </w:t>
            </w:r>
          </w:p>
        </w:tc>
        <w:tc>
          <w:tcPr>
            <w:tcW w:w="0" w:type="auto"/>
          </w:tcPr>
          <w:p w14:paraId="454C03E1" w14:textId="631FDDAD" w:rsidR="00DF3099" w:rsidRPr="00A14EF1" w:rsidRDefault="00DF3099" w:rsidP="007F06CC">
            <w:pPr>
              <w:rPr>
                <w:rFonts w:ascii="Calibri" w:hAnsi="Calibri"/>
                <w:sz w:val="20"/>
                <w:szCs w:val="20"/>
              </w:rPr>
            </w:pPr>
            <w:r w:rsidRPr="00A14EF1">
              <w:rPr>
                <w:rFonts w:ascii="Calibri" w:hAnsi="Calibri"/>
                <w:sz w:val="20"/>
                <w:szCs w:val="20"/>
              </w:rPr>
              <w:t>CASL, CDS, Administration, Finance, CC, Staff, Faculty</w:t>
            </w:r>
          </w:p>
        </w:tc>
        <w:tc>
          <w:tcPr>
            <w:tcW w:w="0" w:type="auto"/>
          </w:tcPr>
          <w:p w14:paraId="103DA5F5" w14:textId="58882FC1" w:rsidR="00DF3099" w:rsidRPr="00A14EF1" w:rsidRDefault="00DF3099" w:rsidP="007F06CC">
            <w:pPr>
              <w:rPr>
                <w:rFonts w:ascii="Calibri" w:hAnsi="Calibri"/>
                <w:sz w:val="20"/>
                <w:szCs w:val="20"/>
              </w:rPr>
            </w:pPr>
            <w:r w:rsidRPr="00A14EF1">
              <w:rPr>
                <w:rFonts w:ascii="Calibri" w:hAnsi="Calibri"/>
                <w:sz w:val="20"/>
                <w:szCs w:val="20"/>
              </w:rPr>
              <w:t>Annual Improvement Plan Template; Program Review Exit Meeting; Program Review Data Follow-Up Meeting</w:t>
            </w:r>
          </w:p>
        </w:tc>
        <w:tc>
          <w:tcPr>
            <w:tcW w:w="0" w:type="auto"/>
          </w:tcPr>
          <w:p w14:paraId="28146BF7" w14:textId="3F1703C6" w:rsidR="00DF3099" w:rsidRPr="00A14EF1" w:rsidRDefault="00F66D9B" w:rsidP="007F06CC">
            <w:pPr>
              <w:rPr>
                <w:rFonts w:ascii="Calibri" w:hAnsi="Calibri"/>
                <w:sz w:val="20"/>
                <w:szCs w:val="20"/>
              </w:rPr>
            </w:pPr>
            <w:r>
              <w:rPr>
                <w:rFonts w:ascii="Calibri" w:hAnsi="Calibri"/>
                <w:sz w:val="20"/>
                <w:szCs w:val="20"/>
              </w:rPr>
              <w:t>Pre/Post student learning results comparisons</w:t>
            </w:r>
            <w:r w:rsidR="00DF3099" w:rsidRPr="00A14EF1">
              <w:rPr>
                <w:rFonts w:ascii="Calibri" w:hAnsi="Calibri"/>
                <w:sz w:val="20"/>
                <w:szCs w:val="20"/>
              </w:rPr>
              <w:t>; Aligned with Program Review cycles</w:t>
            </w:r>
          </w:p>
        </w:tc>
      </w:tr>
      <w:tr w:rsidR="000B06E8" w:rsidRPr="008A4054" w14:paraId="70E00963" w14:textId="77777777" w:rsidTr="00DF3099">
        <w:tc>
          <w:tcPr>
            <w:tcW w:w="0" w:type="auto"/>
          </w:tcPr>
          <w:p w14:paraId="203AEAC7" w14:textId="77777777" w:rsidR="00DF3099" w:rsidRPr="00A14EF1" w:rsidRDefault="00DF3099" w:rsidP="00117BC2">
            <w:pPr>
              <w:rPr>
                <w:rFonts w:ascii="Calibri" w:hAnsi="Calibri"/>
                <w:sz w:val="20"/>
                <w:szCs w:val="20"/>
              </w:rPr>
            </w:pPr>
            <w:r>
              <w:rPr>
                <w:rFonts w:ascii="Calibri" w:hAnsi="Calibri"/>
                <w:sz w:val="20"/>
                <w:szCs w:val="20"/>
              </w:rPr>
              <w:t>Average f</w:t>
            </w:r>
            <w:r w:rsidRPr="00A14EF1">
              <w:rPr>
                <w:rFonts w:ascii="Calibri" w:hAnsi="Calibri"/>
                <w:sz w:val="20"/>
                <w:szCs w:val="20"/>
              </w:rPr>
              <w:t>aculty assessment score</w:t>
            </w:r>
          </w:p>
        </w:tc>
        <w:tc>
          <w:tcPr>
            <w:tcW w:w="0" w:type="auto"/>
          </w:tcPr>
          <w:p w14:paraId="41A22F65" w14:textId="45E024B5" w:rsidR="00DF3099" w:rsidRPr="00A14EF1" w:rsidRDefault="00DF3099" w:rsidP="00117BC2">
            <w:pPr>
              <w:rPr>
                <w:rFonts w:ascii="Calibri" w:hAnsi="Calibri"/>
                <w:sz w:val="20"/>
                <w:szCs w:val="20"/>
              </w:rPr>
            </w:pPr>
            <w:r w:rsidRPr="00A14EF1">
              <w:rPr>
                <w:rFonts w:ascii="Calibri" w:hAnsi="Calibri"/>
                <w:sz w:val="20"/>
                <w:szCs w:val="20"/>
              </w:rPr>
              <w:t>Faculty, CASL, CDS</w:t>
            </w:r>
          </w:p>
        </w:tc>
        <w:tc>
          <w:tcPr>
            <w:tcW w:w="0" w:type="auto"/>
          </w:tcPr>
          <w:p w14:paraId="0601099D" w14:textId="42ED0DBE" w:rsidR="00DF3099" w:rsidRPr="00A14EF1" w:rsidRDefault="00DF3099" w:rsidP="007F06CC">
            <w:pPr>
              <w:rPr>
                <w:rFonts w:ascii="Calibri" w:hAnsi="Calibri"/>
                <w:sz w:val="20"/>
                <w:szCs w:val="20"/>
              </w:rPr>
            </w:pPr>
            <w:r w:rsidRPr="00A14EF1">
              <w:rPr>
                <w:rFonts w:ascii="Calibri" w:hAnsi="Calibri"/>
                <w:sz w:val="20"/>
                <w:szCs w:val="20"/>
              </w:rPr>
              <w:t>Assessment Faculty Questionnaire (in development)</w:t>
            </w:r>
          </w:p>
        </w:tc>
        <w:tc>
          <w:tcPr>
            <w:tcW w:w="0" w:type="auto"/>
          </w:tcPr>
          <w:p w14:paraId="70963E87" w14:textId="77777777" w:rsidR="00DF3099" w:rsidRDefault="00DF3099" w:rsidP="00DF3099">
            <w:pPr>
              <w:rPr>
                <w:rFonts w:ascii="Calibri" w:hAnsi="Calibri"/>
                <w:sz w:val="20"/>
                <w:szCs w:val="20"/>
              </w:rPr>
            </w:pPr>
            <w:r w:rsidRPr="00A14EF1">
              <w:rPr>
                <w:rFonts w:ascii="Calibri" w:hAnsi="Calibri"/>
                <w:sz w:val="20"/>
                <w:szCs w:val="20"/>
              </w:rPr>
              <w:t>Average score (# ratings per question/ # questions x 100) Overall &amp; by utility, support, feasibility, satisfaction</w:t>
            </w:r>
          </w:p>
          <w:p w14:paraId="70DA904B" w14:textId="4EE9B089" w:rsidR="00DF3099" w:rsidRPr="00A14EF1" w:rsidRDefault="00DF3099" w:rsidP="00DF3099">
            <w:pPr>
              <w:rPr>
                <w:rFonts w:ascii="Calibri" w:hAnsi="Calibri"/>
                <w:sz w:val="20"/>
                <w:szCs w:val="20"/>
              </w:rPr>
            </w:pPr>
            <w:r w:rsidRPr="00070A6B">
              <w:rPr>
                <w:rFonts w:ascii="Calibri" w:hAnsi="Calibri"/>
                <w:i/>
                <w:color w:val="0000FF"/>
                <w:sz w:val="20"/>
                <w:szCs w:val="20"/>
              </w:rPr>
              <w:t>Data collection starts Fall, 2016</w:t>
            </w:r>
          </w:p>
        </w:tc>
      </w:tr>
    </w:tbl>
    <w:p w14:paraId="5DAA8A42" w14:textId="77A7B4AB" w:rsidR="002C6005" w:rsidRPr="00FD740A" w:rsidRDefault="00FD740A" w:rsidP="00FD740A">
      <w:pPr>
        <w:pStyle w:val="Heading1"/>
        <w:rPr>
          <w:b/>
          <w:color w:val="983620" w:themeColor="accent2"/>
        </w:rPr>
      </w:pPr>
      <w:bookmarkStart w:id="10" w:name="_Toc445381112"/>
      <w:r w:rsidRPr="00FD740A">
        <w:rPr>
          <w:b/>
          <w:color w:val="983620" w:themeColor="accent2"/>
        </w:rPr>
        <w:lastRenderedPageBreak/>
        <w:t>References</w:t>
      </w:r>
      <w:bookmarkEnd w:id="10"/>
    </w:p>
    <w:p w14:paraId="7C2726FB" w14:textId="77777777" w:rsidR="00FD740A" w:rsidRDefault="00FD740A" w:rsidP="00FD740A"/>
    <w:p w14:paraId="0C301CE0" w14:textId="5CD0BAFA" w:rsidR="009D6873" w:rsidRDefault="009D6873" w:rsidP="00FD740A">
      <w:pPr>
        <w:spacing w:before="100" w:beforeAutospacing="1" w:after="100" w:afterAutospacing="1" w:line="480" w:lineRule="auto"/>
        <w:ind w:left="720" w:hanging="720"/>
        <w:rPr>
          <w:rFonts w:ascii="TimesNewRomanPS" w:hAnsi="TimesNewRomanPS" w:cs="Times New Roman" w:hint="eastAsia"/>
          <w:bCs/>
          <w:sz w:val="22"/>
          <w:szCs w:val="22"/>
        </w:rPr>
      </w:pPr>
      <w:r>
        <w:rPr>
          <w:rFonts w:ascii="TimesNewRomanPS" w:hAnsi="TimesNewRomanPS" w:cs="Times New Roman"/>
          <w:bCs/>
          <w:sz w:val="22"/>
          <w:szCs w:val="22"/>
        </w:rPr>
        <w:t xml:space="preserve">Association of American Colleges &amp; Universities (2008). College learning for the new global century. </w:t>
      </w:r>
      <w:r w:rsidR="00594524">
        <w:rPr>
          <w:rFonts w:ascii="TimesNewRomanPS" w:hAnsi="TimesNewRomanPS" w:cs="Times New Roman" w:hint="eastAsia"/>
          <w:bCs/>
          <w:sz w:val="22"/>
          <w:szCs w:val="22"/>
        </w:rPr>
        <w:t>N</w:t>
      </w:r>
      <w:r w:rsidR="00594524">
        <w:rPr>
          <w:rFonts w:ascii="TimesNewRomanPS" w:hAnsi="TimesNewRomanPS" w:cs="Times New Roman"/>
          <w:bCs/>
          <w:sz w:val="22"/>
          <w:szCs w:val="22"/>
        </w:rPr>
        <w:t xml:space="preserve">ational Leadership Council for Liberal Education &amp; America’s Promise: Washington, DC. </w:t>
      </w:r>
    </w:p>
    <w:p w14:paraId="778031D8" w14:textId="375C3290" w:rsidR="00E35EBE" w:rsidRDefault="00E35EBE" w:rsidP="00FD740A">
      <w:pPr>
        <w:spacing w:before="100" w:beforeAutospacing="1" w:after="100" w:afterAutospacing="1" w:line="480" w:lineRule="auto"/>
        <w:ind w:left="720" w:hanging="720"/>
        <w:rPr>
          <w:rFonts w:ascii="TimesNewRomanPS" w:hAnsi="TimesNewRomanPS" w:cs="Times New Roman" w:hint="eastAsia"/>
          <w:bCs/>
          <w:sz w:val="22"/>
          <w:szCs w:val="22"/>
        </w:rPr>
      </w:pPr>
      <w:r>
        <w:rPr>
          <w:rFonts w:ascii="TimesNewRomanPS" w:hAnsi="TimesNewRomanPS" w:cs="Times New Roman"/>
          <w:bCs/>
          <w:sz w:val="22"/>
          <w:szCs w:val="22"/>
        </w:rPr>
        <w:t xml:space="preserve">Association of American Colleges &amp; Universities (2016). Trends in </w:t>
      </w:r>
      <w:r w:rsidR="009D6873">
        <w:rPr>
          <w:rFonts w:ascii="TimesNewRomanPS" w:hAnsi="TimesNewRomanPS" w:cs="Times New Roman"/>
          <w:bCs/>
          <w:sz w:val="22"/>
          <w:szCs w:val="22"/>
        </w:rPr>
        <w:t>learning outcomes a</w:t>
      </w:r>
      <w:r>
        <w:rPr>
          <w:rFonts w:ascii="TimesNewRomanPS" w:hAnsi="TimesNewRomanPS" w:cs="Times New Roman"/>
          <w:bCs/>
          <w:sz w:val="22"/>
          <w:szCs w:val="22"/>
        </w:rPr>
        <w:t xml:space="preserve">ssessment: Hart Research Associates. </w:t>
      </w:r>
    </w:p>
    <w:p w14:paraId="52F3C66C" w14:textId="77777777" w:rsidR="00FD740A" w:rsidRPr="00FD740A" w:rsidRDefault="00FD740A" w:rsidP="00FD740A">
      <w:pPr>
        <w:spacing w:before="100" w:beforeAutospacing="1" w:after="100" w:afterAutospacing="1" w:line="480" w:lineRule="auto"/>
        <w:ind w:left="720" w:hanging="720"/>
        <w:rPr>
          <w:rFonts w:ascii="Times" w:hAnsi="Times" w:cs="Times New Roman"/>
          <w:sz w:val="20"/>
          <w:szCs w:val="20"/>
        </w:rPr>
      </w:pPr>
      <w:r w:rsidRPr="00FD740A">
        <w:rPr>
          <w:rFonts w:ascii="TimesNewRomanPS" w:hAnsi="TimesNewRomanPS" w:cs="Times New Roman"/>
          <w:bCs/>
          <w:sz w:val="22"/>
          <w:szCs w:val="22"/>
        </w:rPr>
        <w:t xml:space="preserve">Gulikers, J. T. M., Bastiaens, Th. J., Kirschner, P. A., &amp; Kester, L. (2006). Relations between student perceptions of assessment authenticity, study approaches and learning outcome. </w:t>
      </w:r>
      <w:r w:rsidRPr="00FD740A">
        <w:rPr>
          <w:rFonts w:ascii="TimesNewRomanPS" w:hAnsi="TimesNewRomanPS" w:cs="Times New Roman"/>
          <w:bCs/>
          <w:i/>
          <w:iCs/>
          <w:sz w:val="22"/>
          <w:szCs w:val="22"/>
        </w:rPr>
        <w:t xml:space="preserve">Studies in Educational Evaluation, 32 </w:t>
      </w:r>
      <w:r w:rsidRPr="00FD740A">
        <w:rPr>
          <w:rFonts w:ascii="TimesNewRomanPS" w:hAnsi="TimesNewRomanPS" w:cs="Times New Roman"/>
          <w:bCs/>
          <w:sz w:val="22"/>
          <w:szCs w:val="22"/>
        </w:rPr>
        <w:t xml:space="preserve">, 381-400 </w:t>
      </w:r>
    </w:p>
    <w:p w14:paraId="050F5908" w14:textId="77777777" w:rsidR="00FD740A" w:rsidRDefault="00FD740A" w:rsidP="00FD740A"/>
    <w:sectPr w:rsidR="00FD740A" w:rsidSect="003F685C">
      <w:headerReference w:type="default" r:id="rId20"/>
      <w:footerReference w:type="default" r:id="rId21"/>
      <w:headerReference w:type="first" r:id="rId22"/>
      <w:footerReference w:type="first" r:id="rId23"/>
      <w:pgSz w:w="12240" w:h="15840" w:code="1"/>
      <w:pgMar w:top="1440" w:right="1080" w:bottom="1440" w:left="1080" w:header="1296" w:footer="129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D8119" w14:textId="77777777" w:rsidR="00910288" w:rsidRDefault="00910288" w:rsidP="00A15157">
      <w:pPr>
        <w:spacing w:after="0"/>
      </w:pPr>
      <w:r>
        <w:separator/>
      </w:r>
    </w:p>
  </w:endnote>
  <w:endnote w:type="continuationSeparator" w:id="0">
    <w:p w14:paraId="3F2AA644" w14:textId="77777777" w:rsidR="00910288" w:rsidRDefault="00910288" w:rsidP="00A151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91"/>
      <w:gridCol w:w="4669"/>
    </w:tblGrid>
    <w:tr w:rsidR="009B3159" w14:paraId="67B992A5" w14:textId="77777777" w:rsidTr="00570F73">
      <w:tc>
        <w:tcPr>
          <w:tcW w:w="4788" w:type="dxa"/>
        </w:tcPr>
        <w:sdt>
          <w:sdtPr>
            <w:alias w:val="Title"/>
            <w:tag w:val=""/>
            <w:id w:val="396793114"/>
            <w:dataBinding w:prefixMappings="xmlns:ns0='http://purl.org/dc/elements/1.1/' xmlns:ns1='http://schemas.openxmlformats.org/package/2006/metadata/core-properties' " w:xpath="/ns1:coreProperties[1]/ns0:title[1]" w:storeItemID="{6C3C8BC8-F283-45AE-878A-BAB7291924A1}"/>
            <w:text w:multiLine="1"/>
          </w:sdtPr>
          <w:sdtEndPr/>
          <w:sdtContent>
            <w:p w14:paraId="52126699" w14:textId="77777777" w:rsidR="009B3159" w:rsidRPr="00CC2374" w:rsidRDefault="009B3159" w:rsidP="00570F73">
              <w:pPr>
                <w:pStyle w:val="Footer"/>
                <w:rPr>
                  <w:b/>
                  <w:color w:val="auto"/>
                  <w:sz w:val="24"/>
                </w:rPr>
              </w:pPr>
              <w:r>
                <w:t>LCC Assessment Results</w:t>
              </w:r>
            </w:p>
          </w:sdtContent>
        </w:sdt>
      </w:tc>
      <w:tc>
        <w:tcPr>
          <w:tcW w:w="4788" w:type="dxa"/>
        </w:tcPr>
        <w:p w14:paraId="26F6DE44" w14:textId="77777777" w:rsidR="009B3159" w:rsidRDefault="009B3159" w:rsidP="00570F73">
          <w:pPr>
            <w:pStyle w:val="Header-FooterRight"/>
          </w:pPr>
          <w:r>
            <w:fldChar w:fldCharType="begin"/>
          </w:r>
          <w:r>
            <w:instrText xml:space="preserve"> Page </w:instrText>
          </w:r>
          <w:r>
            <w:fldChar w:fldCharType="separate"/>
          </w:r>
          <w:r w:rsidR="00FF7628">
            <w:rPr>
              <w:noProof/>
            </w:rPr>
            <w:t>ii</w:t>
          </w:r>
          <w:r>
            <w:fldChar w:fldCharType="end"/>
          </w:r>
        </w:p>
      </w:tc>
    </w:tr>
  </w:tbl>
  <w:p w14:paraId="553BA9C5" w14:textId="77777777" w:rsidR="009B3159" w:rsidRDefault="009B3159" w:rsidP="006F61EB">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88"/>
      <w:gridCol w:w="4788"/>
    </w:tblGrid>
    <w:tr w:rsidR="009B3159" w14:paraId="380459B2" w14:textId="77777777" w:rsidTr="00570F73">
      <w:tc>
        <w:tcPr>
          <w:tcW w:w="4788" w:type="dxa"/>
        </w:tcPr>
        <w:sdt>
          <w:sdtPr>
            <w:alias w:val="Title"/>
            <w:tag w:val=""/>
            <w:id w:val="1566841892"/>
            <w:dataBinding w:prefixMappings="xmlns:ns0='http://purl.org/dc/elements/1.1/' xmlns:ns1='http://schemas.openxmlformats.org/package/2006/metadata/core-properties' " w:xpath="/ns1:coreProperties[1]/ns0:title[1]" w:storeItemID="{6C3C8BC8-F283-45AE-878A-BAB7291924A1}"/>
            <w:text w:multiLine="1"/>
          </w:sdtPr>
          <w:sdtEndPr/>
          <w:sdtContent>
            <w:p w14:paraId="340511E4" w14:textId="77777777" w:rsidR="009B3159" w:rsidRPr="00CC2374" w:rsidRDefault="009B3159" w:rsidP="00570F73">
              <w:pPr>
                <w:pStyle w:val="Footer"/>
                <w:rPr>
                  <w:b/>
                  <w:color w:val="auto"/>
                  <w:sz w:val="24"/>
                </w:rPr>
              </w:pPr>
              <w:r>
                <w:t>LCC Assessment Results</w:t>
              </w:r>
            </w:p>
          </w:sdtContent>
        </w:sdt>
      </w:tc>
      <w:tc>
        <w:tcPr>
          <w:tcW w:w="4788" w:type="dxa"/>
        </w:tcPr>
        <w:p w14:paraId="418C2215" w14:textId="77777777" w:rsidR="009B3159" w:rsidRDefault="009B3159" w:rsidP="00570F73">
          <w:pPr>
            <w:pStyle w:val="Header-FooterRight"/>
          </w:pPr>
          <w:r>
            <w:fldChar w:fldCharType="begin"/>
          </w:r>
          <w:r>
            <w:instrText xml:space="preserve"> Page </w:instrText>
          </w:r>
          <w:r>
            <w:fldChar w:fldCharType="separate"/>
          </w:r>
          <w:r w:rsidR="00FF7628">
            <w:rPr>
              <w:noProof/>
            </w:rPr>
            <w:t>19</w:t>
          </w:r>
          <w:r>
            <w:fldChar w:fldCharType="end"/>
          </w:r>
        </w:p>
      </w:tc>
    </w:tr>
  </w:tbl>
  <w:p w14:paraId="19F1C1E1" w14:textId="77777777" w:rsidR="009B3159" w:rsidRDefault="009B3159" w:rsidP="002701BD">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88"/>
      <w:gridCol w:w="4788"/>
    </w:tblGrid>
    <w:tr w:rsidR="009B3159" w14:paraId="1F169305" w14:textId="77777777" w:rsidTr="00CC2374">
      <w:tc>
        <w:tcPr>
          <w:tcW w:w="4788" w:type="dxa"/>
        </w:tcPr>
        <w:sdt>
          <w:sdtPr>
            <w:alias w:val="Title"/>
            <w:tag w:val=""/>
            <w:id w:val="-254826148"/>
            <w:dataBinding w:prefixMappings="xmlns:ns0='http://purl.org/dc/elements/1.1/' xmlns:ns1='http://schemas.openxmlformats.org/package/2006/metadata/core-properties' " w:xpath="/ns1:coreProperties[1]/ns0:title[1]" w:storeItemID="{6C3C8BC8-F283-45AE-878A-BAB7291924A1}"/>
            <w:text w:multiLine="1"/>
          </w:sdtPr>
          <w:sdtEndPr/>
          <w:sdtContent>
            <w:p w14:paraId="0BD9B1D2" w14:textId="77777777" w:rsidR="009B3159" w:rsidRPr="00CC2374" w:rsidRDefault="009B3159" w:rsidP="00CC2374">
              <w:pPr>
                <w:pStyle w:val="Footer"/>
                <w:rPr>
                  <w:b/>
                  <w:color w:val="auto"/>
                  <w:sz w:val="24"/>
                </w:rPr>
              </w:pPr>
              <w:r>
                <w:t>LCC Assessment Results</w:t>
              </w:r>
            </w:p>
          </w:sdtContent>
        </w:sdt>
      </w:tc>
      <w:tc>
        <w:tcPr>
          <w:tcW w:w="4788" w:type="dxa"/>
        </w:tcPr>
        <w:p w14:paraId="3987856E" w14:textId="77777777" w:rsidR="009B3159" w:rsidRDefault="009B3159" w:rsidP="00CC2374">
          <w:pPr>
            <w:pStyle w:val="Header-FooterRight"/>
          </w:pPr>
          <w:r>
            <w:fldChar w:fldCharType="begin"/>
          </w:r>
          <w:r>
            <w:instrText xml:space="preserve"> Page </w:instrText>
          </w:r>
          <w:r>
            <w:fldChar w:fldCharType="separate"/>
          </w:r>
          <w:r w:rsidR="00FF7628">
            <w:rPr>
              <w:noProof/>
            </w:rPr>
            <w:t>1</w:t>
          </w:r>
          <w:r>
            <w:fldChar w:fldCharType="end"/>
          </w:r>
        </w:p>
      </w:tc>
    </w:tr>
  </w:tbl>
  <w:p w14:paraId="4012FA49" w14:textId="77777777" w:rsidR="009B3159" w:rsidRDefault="009B3159" w:rsidP="003411A7">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E4E20" w14:textId="77777777" w:rsidR="00910288" w:rsidRDefault="00910288" w:rsidP="00A15157">
      <w:pPr>
        <w:spacing w:after="0"/>
      </w:pPr>
      <w:r>
        <w:separator/>
      </w:r>
    </w:p>
  </w:footnote>
  <w:footnote w:type="continuationSeparator" w:id="0">
    <w:p w14:paraId="7B2A538E" w14:textId="77777777" w:rsidR="00910288" w:rsidRDefault="00910288" w:rsidP="00A151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A647B" w14:textId="45888665" w:rsidR="009B3159" w:rsidRPr="008F5CBD" w:rsidRDefault="009B3159" w:rsidP="008F5CBD">
    <w:pPr>
      <w:pStyle w:val="Header"/>
      <w:jc w:val="right"/>
      <w:rPr>
        <w:sz w:val="18"/>
        <w:szCs w:val="18"/>
      </w:rPr>
    </w:pPr>
    <w:r w:rsidRPr="008F5CBD">
      <w:rPr>
        <w:sz w:val="18"/>
        <w:szCs w:val="18"/>
      </w:rPr>
      <w:t>Spring,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A4569" w14:textId="77777777" w:rsidR="009B3159" w:rsidRDefault="009B31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5AB8E" w14:textId="77777777" w:rsidR="009B3159" w:rsidRDefault="009B3159" w:rsidP="004F65CC">
    <w:pPr>
      <w:pStyle w:val="Header-Footer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983620" w:themeColor="accent2"/>
      </w:rPr>
    </w:lvl>
  </w:abstractNum>
  <w:abstractNum w:abstractNumId="2" w15:restartNumberingAfterBreak="0">
    <w:nsid w:val="067C017E"/>
    <w:multiLevelType w:val="hybridMultilevel"/>
    <w:tmpl w:val="F2AC55F0"/>
    <w:lvl w:ilvl="0" w:tplc="3E84E108">
      <w:start w:val="1"/>
      <w:numFmt w:val="bullet"/>
      <w:lvlText w:val="•"/>
      <w:lvlJc w:val="left"/>
      <w:pPr>
        <w:tabs>
          <w:tab w:val="num" w:pos="720"/>
        </w:tabs>
        <w:ind w:left="720" w:hanging="360"/>
      </w:pPr>
      <w:rPr>
        <w:rFonts w:ascii="Arial" w:hAnsi="Arial" w:hint="default"/>
      </w:rPr>
    </w:lvl>
    <w:lvl w:ilvl="1" w:tplc="956845FE" w:tentative="1">
      <w:start w:val="1"/>
      <w:numFmt w:val="bullet"/>
      <w:lvlText w:val="•"/>
      <w:lvlJc w:val="left"/>
      <w:pPr>
        <w:tabs>
          <w:tab w:val="num" w:pos="1440"/>
        </w:tabs>
        <w:ind w:left="1440" w:hanging="360"/>
      </w:pPr>
      <w:rPr>
        <w:rFonts w:ascii="Arial" w:hAnsi="Arial" w:hint="default"/>
      </w:rPr>
    </w:lvl>
    <w:lvl w:ilvl="2" w:tplc="9BC0A0EE" w:tentative="1">
      <w:start w:val="1"/>
      <w:numFmt w:val="bullet"/>
      <w:lvlText w:val="•"/>
      <w:lvlJc w:val="left"/>
      <w:pPr>
        <w:tabs>
          <w:tab w:val="num" w:pos="2160"/>
        </w:tabs>
        <w:ind w:left="2160" w:hanging="360"/>
      </w:pPr>
      <w:rPr>
        <w:rFonts w:ascii="Arial" w:hAnsi="Arial" w:hint="default"/>
      </w:rPr>
    </w:lvl>
    <w:lvl w:ilvl="3" w:tplc="580C5106" w:tentative="1">
      <w:start w:val="1"/>
      <w:numFmt w:val="bullet"/>
      <w:lvlText w:val="•"/>
      <w:lvlJc w:val="left"/>
      <w:pPr>
        <w:tabs>
          <w:tab w:val="num" w:pos="2880"/>
        </w:tabs>
        <w:ind w:left="2880" w:hanging="360"/>
      </w:pPr>
      <w:rPr>
        <w:rFonts w:ascii="Arial" w:hAnsi="Arial" w:hint="default"/>
      </w:rPr>
    </w:lvl>
    <w:lvl w:ilvl="4" w:tplc="DD4891C2" w:tentative="1">
      <w:start w:val="1"/>
      <w:numFmt w:val="bullet"/>
      <w:lvlText w:val="•"/>
      <w:lvlJc w:val="left"/>
      <w:pPr>
        <w:tabs>
          <w:tab w:val="num" w:pos="3600"/>
        </w:tabs>
        <w:ind w:left="3600" w:hanging="360"/>
      </w:pPr>
      <w:rPr>
        <w:rFonts w:ascii="Arial" w:hAnsi="Arial" w:hint="default"/>
      </w:rPr>
    </w:lvl>
    <w:lvl w:ilvl="5" w:tplc="3EDCEBE0" w:tentative="1">
      <w:start w:val="1"/>
      <w:numFmt w:val="bullet"/>
      <w:lvlText w:val="•"/>
      <w:lvlJc w:val="left"/>
      <w:pPr>
        <w:tabs>
          <w:tab w:val="num" w:pos="4320"/>
        </w:tabs>
        <w:ind w:left="4320" w:hanging="360"/>
      </w:pPr>
      <w:rPr>
        <w:rFonts w:ascii="Arial" w:hAnsi="Arial" w:hint="default"/>
      </w:rPr>
    </w:lvl>
    <w:lvl w:ilvl="6" w:tplc="74C06006" w:tentative="1">
      <w:start w:val="1"/>
      <w:numFmt w:val="bullet"/>
      <w:lvlText w:val="•"/>
      <w:lvlJc w:val="left"/>
      <w:pPr>
        <w:tabs>
          <w:tab w:val="num" w:pos="5040"/>
        </w:tabs>
        <w:ind w:left="5040" w:hanging="360"/>
      </w:pPr>
      <w:rPr>
        <w:rFonts w:ascii="Arial" w:hAnsi="Arial" w:hint="default"/>
      </w:rPr>
    </w:lvl>
    <w:lvl w:ilvl="7" w:tplc="2FDED102" w:tentative="1">
      <w:start w:val="1"/>
      <w:numFmt w:val="bullet"/>
      <w:lvlText w:val="•"/>
      <w:lvlJc w:val="left"/>
      <w:pPr>
        <w:tabs>
          <w:tab w:val="num" w:pos="5760"/>
        </w:tabs>
        <w:ind w:left="5760" w:hanging="360"/>
      </w:pPr>
      <w:rPr>
        <w:rFonts w:ascii="Arial" w:hAnsi="Arial" w:hint="default"/>
      </w:rPr>
    </w:lvl>
    <w:lvl w:ilvl="8" w:tplc="F45E3F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5D624F"/>
    <w:multiLevelType w:val="hybridMultilevel"/>
    <w:tmpl w:val="32E6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8210F4"/>
    <w:multiLevelType w:val="hybridMultilevel"/>
    <w:tmpl w:val="49EC6032"/>
    <w:lvl w:ilvl="0" w:tplc="FD009E3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A4104"/>
    <w:multiLevelType w:val="hybridMultilevel"/>
    <w:tmpl w:val="0E7AC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BF2858"/>
    <w:multiLevelType w:val="hybridMultilevel"/>
    <w:tmpl w:val="E654AC9A"/>
    <w:lvl w:ilvl="0" w:tplc="E14E14CE">
      <w:start w:val="1"/>
      <w:numFmt w:val="upperRoman"/>
      <w:lvlText w:val="%1."/>
      <w:lvlJc w:val="left"/>
      <w:pPr>
        <w:ind w:left="1080" w:hanging="720"/>
      </w:pPr>
      <w:rPr>
        <w:rFonts w:hint="default"/>
        <w:b/>
      </w:rPr>
    </w:lvl>
    <w:lvl w:ilvl="1" w:tplc="FD009E3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4B70"/>
    <w:multiLevelType w:val="hybridMultilevel"/>
    <w:tmpl w:val="A274D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173929"/>
    <w:multiLevelType w:val="hybridMultilevel"/>
    <w:tmpl w:val="19286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1D6DA3"/>
    <w:multiLevelType w:val="hybridMultilevel"/>
    <w:tmpl w:val="C0D4F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9F6087"/>
    <w:multiLevelType w:val="hybridMultilevel"/>
    <w:tmpl w:val="DC3EF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8167A0"/>
    <w:multiLevelType w:val="hybridMultilevel"/>
    <w:tmpl w:val="46E65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D76665"/>
    <w:multiLevelType w:val="hybridMultilevel"/>
    <w:tmpl w:val="CCFC5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257E3A"/>
    <w:multiLevelType w:val="hybridMultilevel"/>
    <w:tmpl w:val="B2A04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DC28FF"/>
    <w:multiLevelType w:val="hybridMultilevel"/>
    <w:tmpl w:val="050E5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166321"/>
    <w:multiLevelType w:val="hybridMultilevel"/>
    <w:tmpl w:val="87984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B14325"/>
    <w:multiLevelType w:val="hybridMultilevel"/>
    <w:tmpl w:val="3FA4F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A65D45"/>
    <w:multiLevelType w:val="hybridMultilevel"/>
    <w:tmpl w:val="CBB4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4051DA"/>
    <w:multiLevelType w:val="hybridMultilevel"/>
    <w:tmpl w:val="AA6A5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lvlOverride w:ilvl="0">
      <w:startOverride w:val="1"/>
    </w:lvlOverride>
  </w:num>
  <w:num w:numId="3">
    <w:abstractNumId w:val="0"/>
  </w:num>
  <w:num w:numId="4">
    <w:abstractNumId w:val="6"/>
  </w:num>
  <w:num w:numId="5">
    <w:abstractNumId w:val="9"/>
  </w:num>
  <w:num w:numId="6">
    <w:abstractNumId w:val="4"/>
  </w:num>
  <w:num w:numId="7">
    <w:abstractNumId w:val="12"/>
  </w:num>
  <w:num w:numId="8">
    <w:abstractNumId w:val="18"/>
  </w:num>
  <w:num w:numId="9">
    <w:abstractNumId w:val="17"/>
  </w:num>
  <w:num w:numId="10">
    <w:abstractNumId w:val="15"/>
  </w:num>
  <w:num w:numId="11">
    <w:abstractNumId w:val="5"/>
  </w:num>
  <w:num w:numId="12">
    <w:abstractNumId w:val="14"/>
  </w:num>
  <w:num w:numId="13">
    <w:abstractNumId w:val="7"/>
  </w:num>
  <w:num w:numId="14">
    <w:abstractNumId w:val="13"/>
  </w:num>
  <w:num w:numId="15">
    <w:abstractNumId w:val="8"/>
  </w:num>
  <w:num w:numId="16">
    <w:abstractNumId w:val="16"/>
  </w:num>
  <w:num w:numId="17">
    <w:abstractNumId w:val="10"/>
  </w:num>
  <w:num w:numId="18">
    <w:abstractNumId w:val="11"/>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CC"/>
    <w:rsid w:val="00007364"/>
    <w:rsid w:val="00007642"/>
    <w:rsid w:val="0002404C"/>
    <w:rsid w:val="00036ECC"/>
    <w:rsid w:val="00040279"/>
    <w:rsid w:val="000455EE"/>
    <w:rsid w:val="00051A36"/>
    <w:rsid w:val="000525C1"/>
    <w:rsid w:val="00055249"/>
    <w:rsid w:val="000625B9"/>
    <w:rsid w:val="00062EB6"/>
    <w:rsid w:val="00070A6B"/>
    <w:rsid w:val="00084A49"/>
    <w:rsid w:val="00090CCB"/>
    <w:rsid w:val="00093131"/>
    <w:rsid w:val="000A1A28"/>
    <w:rsid w:val="000A5E88"/>
    <w:rsid w:val="000B0381"/>
    <w:rsid w:val="000B06E8"/>
    <w:rsid w:val="000B601C"/>
    <w:rsid w:val="000B68D0"/>
    <w:rsid w:val="000C01B8"/>
    <w:rsid w:val="000C05C3"/>
    <w:rsid w:val="000C3FB5"/>
    <w:rsid w:val="000C41E7"/>
    <w:rsid w:val="000C7419"/>
    <w:rsid w:val="000D2D21"/>
    <w:rsid w:val="000E62A3"/>
    <w:rsid w:val="000F3F67"/>
    <w:rsid w:val="001014F2"/>
    <w:rsid w:val="00103C68"/>
    <w:rsid w:val="00107D3D"/>
    <w:rsid w:val="00117BC2"/>
    <w:rsid w:val="001203D8"/>
    <w:rsid w:val="0012051B"/>
    <w:rsid w:val="0013213D"/>
    <w:rsid w:val="001403DF"/>
    <w:rsid w:val="0014426C"/>
    <w:rsid w:val="00144C46"/>
    <w:rsid w:val="0014508F"/>
    <w:rsid w:val="001564EB"/>
    <w:rsid w:val="001603D3"/>
    <w:rsid w:val="00165340"/>
    <w:rsid w:val="001662CF"/>
    <w:rsid w:val="00170E14"/>
    <w:rsid w:val="00171B63"/>
    <w:rsid w:val="0017371A"/>
    <w:rsid w:val="00180E20"/>
    <w:rsid w:val="001839F8"/>
    <w:rsid w:val="001B255D"/>
    <w:rsid w:val="001C01D6"/>
    <w:rsid w:val="001D0E2C"/>
    <w:rsid w:val="001D6DC2"/>
    <w:rsid w:val="001D705F"/>
    <w:rsid w:val="001D7D03"/>
    <w:rsid w:val="001E2990"/>
    <w:rsid w:val="001E29AF"/>
    <w:rsid w:val="001E4C4A"/>
    <w:rsid w:val="001E52B8"/>
    <w:rsid w:val="001E5DC9"/>
    <w:rsid w:val="001E771A"/>
    <w:rsid w:val="001F1747"/>
    <w:rsid w:val="001F3E14"/>
    <w:rsid w:val="001F4429"/>
    <w:rsid w:val="001F7045"/>
    <w:rsid w:val="00207033"/>
    <w:rsid w:val="00212C64"/>
    <w:rsid w:val="00220005"/>
    <w:rsid w:val="00221F82"/>
    <w:rsid w:val="00223B1C"/>
    <w:rsid w:val="002353C7"/>
    <w:rsid w:val="00235ABA"/>
    <w:rsid w:val="00237520"/>
    <w:rsid w:val="00237EAA"/>
    <w:rsid w:val="002513F8"/>
    <w:rsid w:val="00260A3C"/>
    <w:rsid w:val="002701BD"/>
    <w:rsid w:val="002703C1"/>
    <w:rsid w:val="00271485"/>
    <w:rsid w:val="0027207C"/>
    <w:rsid w:val="00280DC4"/>
    <w:rsid w:val="00280E81"/>
    <w:rsid w:val="00292A75"/>
    <w:rsid w:val="00295F26"/>
    <w:rsid w:val="002A5833"/>
    <w:rsid w:val="002A5B84"/>
    <w:rsid w:val="002A6D60"/>
    <w:rsid w:val="002A748C"/>
    <w:rsid w:val="002B18A4"/>
    <w:rsid w:val="002B3DE6"/>
    <w:rsid w:val="002B5D48"/>
    <w:rsid w:val="002C0CA8"/>
    <w:rsid w:val="002C1F58"/>
    <w:rsid w:val="002C6005"/>
    <w:rsid w:val="002D7B5E"/>
    <w:rsid w:val="002E134C"/>
    <w:rsid w:val="002E1970"/>
    <w:rsid w:val="003044AD"/>
    <w:rsid w:val="00310324"/>
    <w:rsid w:val="0031630F"/>
    <w:rsid w:val="00332CAD"/>
    <w:rsid w:val="0033372E"/>
    <w:rsid w:val="00334B55"/>
    <w:rsid w:val="003411A7"/>
    <w:rsid w:val="00342A5B"/>
    <w:rsid w:val="00342CF9"/>
    <w:rsid w:val="00357E71"/>
    <w:rsid w:val="0037697C"/>
    <w:rsid w:val="00394952"/>
    <w:rsid w:val="00394D2F"/>
    <w:rsid w:val="003956A9"/>
    <w:rsid w:val="003C18C7"/>
    <w:rsid w:val="003C2F23"/>
    <w:rsid w:val="003D29D2"/>
    <w:rsid w:val="003D5F8A"/>
    <w:rsid w:val="003E057D"/>
    <w:rsid w:val="003E6918"/>
    <w:rsid w:val="003F1E77"/>
    <w:rsid w:val="003F685C"/>
    <w:rsid w:val="003F70C8"/>
    <w:rsid w:val="00400269"/>
    <w:rsid w:val="004047F1"/>
    <w:rsid w:val="00406A14"/>
    <w:rsid w:val="00411249"/>
    <w:rsid w:val="00423AA6"/>
    <w:rsid w:val="00423B29"/>
    <w:rsid w:val="004275CD"/>
    <w:rsid w:val="0043040E"/>
    <w:rsid w:val="00430A71"/>
    <w:rsid w:val="00436000"/>
    <w:rsid w:val="00440684"/>
    <w:rsid w:val="004427F9"/>
    <w:rsid w:val="00446D34"/>
    <w:rsid w:val="00450BFD"/>
    <w:rsid w:val="00457E8B"/>
    <w:rsid w:val="00461601"/>
    <w:rsid w:val="00462638"/>
    <w:rsid w:val="0046608D"/>
    <w:rsid w:val="004750E8"/>
    <w:rsid w:val="004841AF"/>
    <w:rsid w:val="0048626D"/>
    <w:rsid w:val="00486CF0"/>
    <w:rsid w:val="004A21F4"/>
    <w:rsid w:val="004B24EC"/>
    <w:rsid w:val="004B2836"/>
    <w:rsid w:val="004B35A8"/>
    <w:rsid w:val="004D009E"/>
    <w:rsid w:val="004D0C86"/>
    <w:rsid w:val="004E6DAF"/>
    <w:rsid w:val="004F4B23"/>
    <w:rsid w:val="004F65CC"/>
    <w:rsid w:val="00500125"/>
    <w:rsid w:val="00503256"/>
    <w:rsid w:val="005069C6"/>
    <w:rsid w:val="0051198A"/>
    <w:rsid w:val="005119A7"/>
    <w:rsid w:val="0051342D"/>
    <w:rsid w:val="00517ADE"/>
    <w:rsid w:val="0052741F"/>
    <w:rsid w:val="00532060"/>
    <w:rsid w:val="00534CB0"/>
    <w:rsid w:val="005518AD"/>
    <w:rsid w:val="005521EF"/>
    <w:rsid w:val="005615D7"/>
    <w:rsid w:val="00562CF6"/>
    <w:rsid w:val="00570F73"/>
    <w:rsid w:val="00582C59"/>
    <w:rsid w:val="00586007"/>
    <w:rsid w:val="00591E71"/>
    <w:rsid w:val="00594524"/>
    <w:rsid w:val="005A4129"/>
    <w:rsid w:val="005A4D09"/>
    <w:rsid w:val="005A766A"/>
    <w:rsid w:val="005B0C93"/>
    <w:rsid w:val="005B3ECE"/>
    <w:rsid w:val="005C0AA0"/>
    <w:rsid w:val="005C1EE9"/>
    <w:rsid w:val="005C2089"/>
    <w:rsid w:val="005C708D"/>
    <w:rsid w:val="005C7F3D"/>
    <w:rsid w:val="005D013F"/>
    <w:rsid w:val="005F041D"/>
    <w:rsid w:val="005F13B2"/>
    <w:rsid w:val="005F51D3"/>
    <w:rsid w:val="005F6947"/>
    <w:rsid w:val="005F7CF5"/>
    <w:rsid w:val="0060117C"/>
    <w:rsid w:val="0060331E"/>
    <w:rsid w:val="00603BFC"/>
    <w:rsid w:val="00604872"/>
    <w:rsid w:val="006069CE"/>
    <w:rsid w:val="00611096"/>
    <w:rsid w:val="00614C31"/>
    <w:rsid w:val="0061564A"/>
    <w:rsid w:val="006218D2"/>
    <w:rsid w:val="00631253"/>
    <w:rsid w:val="00632B07"/>
    <w:rsid w:val="006364DE"/>
    <w:rsid w:val="00654459"/>
    <w:rsid w:val="00660896"/>
    <w:rsid w:val="00663A1C"/>
    <w:rsid w:val="00667441"/>
    <w:rsid w:val="00672F82"/>
    <w:rsid w:val="00684F29"/>
    <w:rsid w:val="00690B0A"/>
    <w:rsid w:val="006932D2"/>
    <w:rsid w:val="00695325"/>
    <w:rsid w:val="006A2836"/>
    <w:rsid w:val="006A6C95"/>
    <w:rsid w:val="006B5484"/>
    <w:rsid w:val="006B7072"/>
    <w:rsid w:val="006C5DF9"/>
    <w:rsid w:val="006C7A7E"/>
    <w:rsid w:val="006D6037"/>
    <w:rsid w:val="006D680E"/>
    <w:rsid w:val="006D6BF8"/>
    <w:rsid w:val="006D6ED8"/>
    <w:rsid w:val="006E0DBA"/>
    <w:rsid w:val="006E1A60"/>
    <w:rsid w:val="006E1F01"/>
    <w:rsid w:val="006E70F8"/>
    <w:rsid w:val="006F61EB"/>
    <w:rsid w:val="00700CF7"/>
    <w:rsid w:val="00702037"/>
    <w:rsid w:val="00703EDE"/>
    <w:rsid w:val="00704260"/>
    <w:rsid w:val="00705C9B"/>
    <w:rsid w:val="007130D1"/>
    <w:rsid w:val="00713FB7"/>
    <w:rsid w:val="00714F3A"/>
    <w:rsid w:val="007204F4"/>
    <w:rsid w:val="007223DC"/>
    <w:rsid w:val="0072581D"/>
    <w:rsid w:val="00726B97"/>
    <w:rsid w:val="00727288"/>
    <w:rsid w:val="00727A1E"/>
    <w:rsid w:val="00727E7C"/>
    <w:rsid w:val="0073659D"/>
    <w:rsid w:val="0074679B"/>
    <w:rsid w:val="0075476B"/>
    <w:rsid w:val="0076026D"/>
    <w:rsid w:val="00761C40"/>
    <w:rsid w:val="00776A3F"/>
    <w:rsid w:val="00781126"/>
    <w:rsid w:val="00782C8E"/>
    <w:rsid w:val="00783EF4"/>
    <w:rsid w:val="00784891"/>
    <w:rsid w:val="00787A8F"/>
    <w:rsid w:val="00790A10"/>
    <w:rsid w:val="007942C8"/>
    <w:rsid w:val="00795370"/>
    <w:rsid w:val="007A2B1D"/>
    <w:rsid w:val="007B1DE6"/>
    <w:rsid w:val="007C0F07"/>
    <w:rsid w:val="007C47EA"/>
    <w:rsid w:val="007D0890"/>
    <w:rsid w:val="007E037F"/>
    <w:rsid w:val="007E28E1"/>
    <w:rsid w:val="007E2B45"/>
    <w:rsid w:val="007F06CC"/>
    <w:rsid w:val="007F4866"/>
    <w:rsid w:val="007F7807"/>
    <w:rsid w:val="00800E82"/>
    <w:rsid w:val="008036FA"/>
    <w:rsid w:val="00803806"/>
    <w:rsid w:val="0080594C"/>
    <w:rsid w:val="00810C29"/>
    <w:rsid w:val="008202DF"/>
    <w:rsid w:val="0084436F"/>
    <w:rsid w:val="00844B91"/>
    <w:rsid w:val="00852194"/>
    <w:rsid w:val="008542F6"/>
    <w:rsid w:val="00856F36"/>
    <w:rsid w:val="00857EEC"/>
    <w:rsid w:val="00862CD6"/>
    <w:rsid w:val="008724CE"/>
    <w:rsid w:val="00884F67"/>
    <w:rsid w:val="008852EB"/>
    <w:rsid w:val="00897C22"/>
    <w:rsid w:val="008A4054"/>
    <w:rsid w:val="008A4150"/>
    <w:rsid w:val="008B0BF6"/>
    <w:rsid w:val="008B441F"/>
    <w:rsid w:val="008C29EC"/>
    <w:rsid w:val="008C4C7C"/>
    <w:rsid w:val="008C6E77"/>
    <w:rsid w:val="008C7171"/>
    <w:rsid w:val="008D79B8"/>
    <w:rsid w:val="008E144A"/>
    <w:rsid w:val="008F5792"/>
    <w:rsid w:val="008F5CBD"/>
    <w:rsid w:val="008F7965"/>
    <w:rsid w:val="0090530D"/>
    <w:rsid w:val="00905F54"/>
    <w:rsid w:val="00910288"/>
    <w:rsid w:val="00911F9B"/>
    <w:rsid w:val="00915E53"/>
    <w:rsid w:val="009241C7"/>
    <w:rsid w:val="00924845"/>
    <w:rsid w:val="00926E49"/>
    <w:rsid w:val="00934E17"/>
    <w:rsid w:val="00937051"/>
    <w:rsid w:val="00940375"/>
    <w:rsid w:val="00947ECE"/>
    <w:rsid w:val="00954496"/>
    <w:rsid w:val="009567BF"/>
    <w:rsid w:val="0095718C"/>
    <w:rsid w:val="0095781F"/>
    <w:rsid w:val="009578C9"/>
    <w:rsid w:val="0096449C"/>
    <w:rsid w:val="00965ED8"/>
    <w:rsid w:val="009815F9"/>
    <w:rsid w:val="00983C18"/>
    <w:rsid w:val="00984EB9"/>
    <w:rsid w:val="009853A3"/>
    <w:rsid w:val="00995769"/>
    <w:rsid w:val="009A1D14"/>
    <w:rsid w:val="009A5F34"/>
    <w:rsid w:val="009B0414"/>
    <w:rsid w:val="009B3159"/>
    <w:rsid w:val="009B3F35"/>
    <w:rsid w:val="009D3B9C"/>
    <w:rsid w:val="009D6873"/>
    <w:rsid w:val="00A01B06"/>
    <w:rsid w:val="00A14EF1"/>
    <w:rsid w:val="00A15157"/>
    <w:rsid w:val="00A1754C"/>
    <w:rsid w:val="00A206D0"/>
    <w:rsid w:val="00A22F5E"/>
    <w:rsid w:val="00A26A59"/>
    <w:rsid w:val="00A3266B"/>
    <w:rsid w:val="00A33FE9"/>
    <w:rsid w:val="00A34901"/>
    <w:rsid w:val="00A4710C"/>
    <w:rsid w:val="00A47E5E"/>
    <w:rsid w:val="00A54A3F"/>
    <w:rsid w:val="00A57D41"/>
    <w:rsid w:val="00A6036C"/>
    <w:rsid w:val="00A639A5"/>
    <w:rsid w:val="00A66BF6"/>
    <w:rsid w:val="00A937F6"/>
    <w:rsid w:val="00A955EE"/>
    <w:rsid w:val="00AA0110"/>
    <w:rsid w:val="00AA7293"/>
    <w:rsid w:val="00AB23C7"/>
    <w:rsid w:val="00AC5DBC"/>
    <w:rsid w:val="00AD050D"/>
    <w:rsid w:val="00AD1D42"/>
    <w:rsid w:val="00AD307C"/>
    <w:rsid w:val="00AD5E05"/>
    <w:rsid w:val="00AE28F3"/>
    <w:rsid w:val="00AE35B7"/>
    <w:rsid w:val="00AF1EEA"/>
    <w:rsid w:val="00AF6BB0"/>
    <w:rsid w:val="00B061AB"/>
    <w:rsid w:val="00B17620"/>
    <w:rsid w:val="00B22FFA"/>
    <w:rsid w:val="00B35026"/>
    <w:rsid w:val="00B422BD"/>
    <w:rsid w:val="00B46507"/>
    <w:rsid w:val="00B47FF3"/>
    <w:rsid w:val="00B50A4D"/>
    <w:rsid w:val="00B6403E"/>
    <w:rsid w:val="00B6536A"/>
    <w:rsid w:val="00B65422"/>
    <w:rsid w:val="00B65B1C"/>
    <w:rsid w:val="00B676B9"/>
    <w:rsid w:val="00B74272"/>
    <w:rsid w:val="00B74B71"/>
    <w:rsid w:val="00B9326F"/>
    <w:rsid w:val="00B96F42"/>
    <w:rsid w:val="00B977A5"/>
    <w:rsid w:val="00B97B4B"/>
    <w:rsid w:val="00BA009E"/>
    <w:rsid w:val="00BA7C19"/>
    <w:rsid w:val="00BB4431"/>
    <w:rsid w:val="00BC1587"/>
    <w:rsid w:val="00BC61AF"/>
    <w:rsid w:val="00BC70FD"/>
    <w:rsid w:val="00BD1C14"/>
    <w:rsid w:val="00BD76B6"/>
    <w:rsid w:val="00BF168D"/>
    <w:rsid w:val="00BF45DF"/>
    <w:rsid w:val="00BF4E65"/>
    <w:rsid w:val="00BF632B"/>
    <w:rsid w:val="00C014B2"/>
    <w:rsid w:val="00C04D4D"/>
    <w:rsid w:val="00C06651"/>
    <w:rsid w:val="00C1114F"/>
    <w:rsid w:val="00C1611C"/>
    <w:rsid w:val="00C200A9"/>
    <w:rsid w:val="00C26A6B"/>
    <w:rsid w:val="00C33BAB"/>
    <w:rsid w:val="00C4467D"/>
    <w:rsid w:val="00C464D7"/>
    <w:rsid w:val="00C51A99"/>
    <w:rsid w:val="00C51DB4"/>
    <w:rsid w:val="00C529EA"/>
    <w:rsid w:val="00C57647"/>
    <w:rsid w:val="00C61C3B"/>
    <w:rsid w:val="00C6360D"/>
    <w:rsid w:val="00C666AD"/>
    <w:rsid w:val="00C675BB"/>
    <w:rsid w:val="00C7059E"/>
    <w:rsid w:val="00C70E7D"/>
    <w:rsid w:val="00C73358"/>
    <w:rsid w:val="00C817B2"/>
    <w:rsid w:val="00C81F96"/>
    <w:rsid w:val="00C91655"/>
    <w:rsid w:val="00C9189C"/>
    <w:rsid w:val="00C92500"/>
    <w:rsid w:val="00CA44F4"/>
    <w:rsid w:val="00CB6FDD"/>
    <w:rsid w:val="00CC2374"/>
    <w:rsid w:val="00CC5DC8"/>
    <w:rsid w:val="00CD4C5A"/>
    <w:rsid w:val="00CD6AB4"/>
    <w:rsid w:val="00CF0CC9"/>
    <w:rsid w:val="00CF43A7"/>
    <w:rsid w:val="00D0214C"/>
    <w:rsid w:val="00D22DDC"/>
    <w:rsid w:val="00D22F48"/>
    <w:rsid w:val="00D24B9E"/>
    <w:rsid w:val="00D262E1"/>
    <w:rsid w:val="00D26F6E"/>
    <w:rsid w:val="00D2763D"/>
    <w:rsid w:val="00D325DE"/>
    <w:rsid w:val="00D35CA9"/>
    <w:rsid w:val="00D408E7"/>
    <w:rsid w:val="00D454B4"/>
    <w:rsid w:val="00D54D43"/>
    <w:rsid w:val="00D550D5"/>
    <w:rsid w:val="00D62243"/>
    <w:rsid w:val="00D63688"/>
    <w:rsid w:val="00D70BDC"/>
    <w:rsid w:val="00D73B57"/>
    <w:rsid w:val="00D7728E"/>
    <w:rsid w:val="00D80959"/>
    <w:rsid w:val="00D87686"/>
    <w:rsid w:val="00D9002B"/>
    <w:rsid w:val="00D90099"/>
    <w:rsid w:val="00D911D7"/>
    <w:rsid w:val="00DA3C2D"/>
    <w:rsid w:val="00DB16B7"/>
    <w:rsid w:val="00DB1FE8"/>
    <w:rsid w:val="00DB3687"/>
    <w:rsid w:val="00DB623E"/>
    <w:rsid w:val="00DC1040"/>
    <w:rsid w:val="00DC1437"/>
    <w:rsid w:val="00DC172A"/>
    <w:rsid w:val="00DC4020"/>
    <w:rsid w:val="00DC6B0E"/>
    <w:rsid w:val="00DC70AD"/>
    <w:rsid w:val="00DD312A"/>
    <w:rsid w:val="00DD48B2"/>
    <w:rsid w:val="00DE0091"/>
    <w:rsid w:val="00DE245B"/>
    <w:rsid w:val="00DF135A"/>
    <w:rsid w:val="00DF3099"/>
    <w:rsid w:val="00DF75C5"/>
    <w:rsid w:val="00DF78B3"/>
    <w:rsid w:val="00E031F9"/>
    <w:rsid w:val="00E03366"/>
    <w:rsid w:val="00E10B66"/>
    <w:rsid w:val="00E143EF"/>
    <w:rsid w:val="00E15143"/>
    <w:rsid w:val="00E17A67"/>
    <w:rsid w:val="00E23445"/>
    <w:rsid w:val="00E2382C"/>
    <w:rsid w:val="00E243A9"/>
    <w:rsid w:val="00E31ACA"/>
    <w:rsid w:val="00E3202E"/>
    <w:rsid w:val="00E3263F"/>
    <w:rsid w:val="00E35EBE"/>
    <w:rsid w:val="00E36485"/>
    <w:rsid w:val="00E4147D"/>
    <w:rsid w:val="00E60124"/>
    <w:rsid w:val="00E612F4"/>
    <w:rsid w:val="00E70175"/>
    <w:rsid w:val="00E70AC2"/>
    <w:rsid w:val="00E762D4"/>
    <w:rsid w:val="00E85D16"/>
    <w:rsid w:val="00E85FF3"/>
    <w:rsid w:val="00E8656F"/>
    <w:rsid w:val="00E87FD5"/>
    <w:rsid w:val="00E93699"/>
    <w:rsid w:val="00E94DA7"/>
    <w:rsid w:val="00E96737"/>
    <w:rsid w:val="00EA199F"/>
    <w:rsid w:val="00EA1B8B"/>
    <w:rsid w:val="00EA3050"/>
    <w:rsid w:val="00EA6B49"/>
    <w:rsid w:val="00EB1556"/>
    <w:rsid w:val="00EB1EC1"/>
    <w:rsid w:val="00EB2D2E"/>
    <w:rsid w:val="00EC15A0"/>
    <w:rsid w:val="00EC6042"/>
    <w:rsid w:val="00EC7892"/>
    <w:rsid w:val="00EE576F"/>
    <w:rsid w:val="00EF5C7D"/>
    <w:rsid w:val="00EF688B"/>
    <w:rsid w:val="00EF7C3F"/>
    <w:rsid w:val="00F0051E"/>
    <w:rsid w:val="00F06ED6"/>
    <w:rsid w:val="00F26D43"/>
    <w:rsid w:val="00F445ED"/>
    <w:rsid w:val="00F5065C"/>
    <w:rsid w:val="00F52F4C"/>
    <w:rsid w:val="00F63BF3"/>
    <w:rsid w:val="00F66721"/>
    <w:rsid w:val="00F66D9B"/>
    <w:rsid w:val="00F67452"/>
    <w:rsid w:val="00F73F39"/>
    <w:rsid w:val="00F82486"/>
    <w:rsid w:val="00F96BFA"/>
    <w:rsid w:val="00FA1969"/>
    <w:rsid w:val="00FA3E89"/>
    <w:rsid w:val="00FA75A4"/>
    <w:rsid w:val="00FB0E54"/>
    <w:rsid w:val="00FB3447"/>
    <w:rsid w:val="00FB3ABE"/>
    <w:rsid w:val="00FC46E0"/>
    <w:rsid w:val="00FC6DF1"/>
    <w:rsid w:val="00FD0786"/>
    <w:rsid w:val="00FD1195"/>
    <w:rsid w:val="00FD5418"/>
    <w:rsid w:val="00FD740A"/>
    <w:rsid w:val="00FE61B3"/>
    <w:rsid w:val="00FF7628"/>
    <w:rsid w:val="00FF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AB3ED7E"/>
  <w15:docId w15:val="{F63DAA04-7CCB-4BDE-92E1-956C77CD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194"/>
    <w:pPr>
      <w:spacing w:line="240" w:lineRule="auto"/>
    </w:pPr>
    <w:rPr>
      <w:rFonts w:ascii="Times New Roman" w:hAnsi="Times New Roman"/>
    </w:rPr>
  </w:style>
  <w:style w:type="paragraph" w:styleId="Heading1">
    <w:name w:val="heading 1"/>
    <w:basedOn w:val="Normal"/>
    <w:next w:val="Normal"/>
    <w:link w:val="Heading1Char"/>
    <w:uiPriority w:val="1"/>
    <w:qFormat/>
    <w:rsid w:val="00CD6AB4"/>
    <w:pPr>
      <w:keepNext/>
      <w:keepLines/>
      <w:spacing w:after="0"/>
      <w:outlineLvl w:val="0"/>
    </w:pPr>
    <w:rPr>
      <w:rFonts w:eastAsiaTheme="majorEastAsia" w:cs="Times New Roman"/>
      <w:bCs/>
    </w:rPr>
  </w:style>
  <w:style w:type="paragraph" w:styleId="Heading2">
    <w:name w:val="heading 2"/>
    <w:basedOn w:val="Normal"/>
    <w:next w:val="Normal"/>
    <w:link w:val="Heading2Char"/>
    <w:uiPriority w:val="1"/>
    <w:qFormat/>
    <w:rsid w:val="00007364"/>
    <w:pPr>
      <w:keepNext/>
      <w:keepLines/>
      <w:pBdr>
        <w:bottom w:val="single" w:sz="2" w:space="14" w:color="BFBFBF" w:themeColor="background1" w:themeShade="BF"/>
      </w:pBdr>
      <w:spacing w:after="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1"/>
    <w:qFormat/>
    <w:rsid w:val="00280DC4"/>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unhideWhenUsed/>
    <w:qFormat/>
    <w:rsid w:val="001B255D"/>
    <w:pPr>
      <w:keepNext/>
      <w:keepLines/>
      <w:spacing w:before="200" w:after="0"/>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983620"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F7C3F"/>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4660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contextualSpacing/>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983620"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jc w:val="center"/>
    </w:pPr>
    <w:rPr>
      <w:rFonts w:asciiTheme="majorHAnsi" w:hAnsiTheme="majorHAnsi"/>
      <w:color w:val="983620" w:themeColor="accent2"/>
      <w:sz w:val="48"/>
    </w:rPr>
  </w:style>
  <w:style w:type="paragraph" w:styleId="Header">
    <w:name w:val="header"/>
    <w:basedOn w:val="Normal"/>
    <w:link w:val="HeaderChar"/>
    <w:uiPriority w:val="99"/>
    <w:rsid w:val="00A15157"/>
    <w:pPr>
      <w:tabs>
        <w:tab w:val="center" w:pos="4680"/>
        <w:tab w:val="right" w:pos="9360"/>
      </w:tabs>
      <w:spacing w:after="0"/>
    </w:p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CD6AB4"/>
    <w:rPr>
      <w:rFonts w:ascii="Times New Roman" w:eastAsiaTheme="majorEastAsia" w:hAnsi="Times New Roman" w:cs="Times New Roman"/>
      <w:bCs/>
    </w:rPr>
  </w:style>
  <w:style w:type="character" w:customStyle="1" w:styleId="Heading2Char">
    <w:name w:val="Heading 2 Char"/>
    <w:basedOn w:val="DefaultParagraphFont"/>
    <w:link w:val="Heading2"/>
    <w:uiPriority w:val="1"/>
    <w:rsid w:val="00007364"/>
    <w:rPr>
      <w:rFonts w:ascii="Times New Roman" w:eastAsiaTheme="majorEastAsia" w:hAnsi="Times New Roman" w:cstheme="majorBidi"/>
      <w:bCs/>
      <w:color w:val="000000" w:themeColor="text1"/>
      <w:szCs w:val="26"/>
    </w:rPr>
  </w:style>
  <w:style w:type="character" w:customStyle="1" w:styleId="Heading3Char">
    <w:name w:val="Heading 3 Char"/>
    <w:basedOn w:val="DefaultParagraphFont"/>
    <w:link w:val="Heading3"/>
    <w:uiPriority w:val="1"/>
    <w:rsid w:val="005B0C93"/>
    <w:rPr>
      <w:rFonts w:asciiTheme="majorHAnsi" w:eastAsiaTheme="majorEastAsia" w:hAnsiTheme="majorHAnsi" w:cstheme="majorBidi"/>
      <w:bCs/>
      <w:color w:val="983620" w:themeColor="accent2"/>
    </w:rPr>
  </w:style>
  <w:style w:type="paragraph" w:styleId="Caption">
    <w:name w:val="caption"/>
    <w:basedOn w:val="Normal"/>
    <w:next w:val="Normal"/>
    <w:uiPriority w:val="1"/>
    <w:qFormat/>
    <w:rsid w:val="00144C46"/>
    <w:pPr>
      <w:spacing w:after="200"/>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461601"/>
    <w:pPr>
      <w:tabs>
        <w:tab w:val="right" w:leader="dot" w:pos="9350"/>
      </w:tabs>
      <w:spacing w:after="100"/>
    </w:pPr>
    <w:rPr>
      <w:color w:val="983620" w:themeColor="accent2"/>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6F61EB"/>
    <w:pPr>
      <w:spacing w:after="100"/>
      <w:ind w:left="480"/>
    </w:pPr>
    <w:rPr>
      <w:sz w:val="20"/>
    </w:rPr>
  </w:style>
  <w:style w:type="character" w:styleId="Hyperlink">
    <w:name w:val="Hyperlink"/>
    <w:basedOn w:val="DefaultParagraphFont"/>
    <w:uiPriority w:val="99"/>
    <w:unhideWhenUsed/>
    <w:rsid w:val="006F61EB"/>
    <w:rPr>
      <w:color w:val="524A82" w:themeColor="hyperlink"/>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3"/>
      </w:numPr>
    </w:pPr>
  </w:style>
  <w:style w:type="character" w:customStyle="1" w:styleId="Heading4Char">
    <w:name w:val="Heading 4 Char"/>
    <w:basedOn w:val="DefaultParagraphFont"/>
    <w:link w:val="Heading4"/>
    <w:uiPriority w:val="1"/>
    <w:rsid w:val="005B0C93"/>
    <w:rPr>
      <w:rFonts w:asciiTheme="majorHAnsi" w:eastAsiaTheme="majorEastAsia" w:hAnsiTheme="majorHAnsi" w:cstheme="majorBidi"/>
      <w:bCs/>
      <w:iCs/>
      <w:color w:val="4B5A60"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52C2F"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styleId="NormalWeb">
    <w:name w:val="Normal (Web)"/>
    <w:basedOn w:val="Normal"/>
    <w:uiPriority w:val="99"/>
    <w:unhideWhenUsed/>
    <w:rsid w:val="00D35CA9"/>
    <w:pPr>
      <w:spacing w:before="100" w:beforeAutospacing="1" w:after="100" w:afterAutospacing="1"/>
    </w:pPr>
    <w:rPr>
      <w:rFonts w:ascii="Times" w:hAnsi="Times" w:cs="Times New Roman"/>
      <w:sz w:val="20"/>
      <w:szCs w:val="20"/>
    </w:rPr>
  </w:style>
  <w:style w:type="character" w:customStyle="1" w:styleId="NoSpacingChar">
    <w:name w:val="No Spacing Char"/>
    <w:basedOn w:val="DefaultParagraphFont"/>
    <w:link w:val="NoSpacing"/>
    <w:uiPriority w:val="1"/>
    <w:rsid w:val="00EF7C3F"/>
    <w:rPr>
      <w:rFonts w:ascii="Times New Roman" w:hAnsi="Times New Roman"/>
    </w:rPr>
  </w:style>
  <w:style w:type="paragraph" w:styleId="ListParagraph">
    <w:name w:val="List Paragraph"/>
    <w:basedOn w:val="Normal"/>
    <w:uiPriority w:val="34"/>
    <w:qFormat/>
    <w:rsid w:val="00727A1E"/>
    <w:pPr>
      <w:spacing w:after="160" w:line="259" w:lineRule="auto"/>
      <w:ind w:left="720"/>
      <w:contextualSpacing/>
    </w:pPr>
    <w:rPr>
      <w:sz w:val="22"/>
      <w:szCs w:val="22"/>
      <w:lang w:eastAsia="ja-JP"/>
    </w:rPr>
  </w:style>
  <w:style w:type="character" w:styleId="FollowedHyperlink">
    <w:name w:val="FollowedHyperlink"/>
    <w:basedOn w:val="DefaultParagraphFont"/>
    <w:uiPriority w:val="99"/>
    <w:semiHidden/>
    <w:unhideWhenUsed/>
    <w:rsid w:val="00BD1C14"/>
    <w:rPr>
      <w:color w:val="8F9954" w:themeColor="followedHyperlink"/>
      <w:u w:val="single"/>
    </w:rPr>
  </w:style>
  <w:style w:type="table" w:customStyle="1" w:styleId="TableGrid1">
    <w:name w:val="Table Grid1"/>
    <w:basedOn w:val="TableNormal"/>
    <w:next w:val="TableGrid"/>
    <w:uiPriority w:val="59"/>
    <w:rsid w:val="00D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6D68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312704">
      <w:bodyDiv w:val="1"/>
      <w:marLeft w:val="0"/>
      <w:marRight w:val="0"/>
      <w:marTop w:val="0"/>
      <w:marBottom w:val="0"/>
      <w:divBdr>
        <w:top w:val="none" w:sz="0" w:space="0" w:color="auto"/>
        <w:left w:val="none" w:sz="0" w:space="0" w:color="auto"/>
        <w:bottom w:val="none" w:sz="0" w:space="0" w:color="auto"/>
        <w:right w:val="none" w:sz="0" w:space="0" w:color="auto"/>
      </w:divBdr>
      <w:divsChild>
        <w:div w:id="1402219498">
          <w:marLeft w:val="0"/>
          <w:marRight w:val="0"/>
          <w:marTop w:val="0"/>
          <w:marBottom w:val="0"/>
          <w:divBdr>
            <w:top w:val="none" w:sz="0" w:space="0" w:color="auto"/>
            <w:left w:val="none" w:sz="0" w:space="0" w:color="auto"/>
            <w:bottom w:val="none" w:sz="0" w:space="0" w:color="auto"/>
            <w:right w:val="none" w:sz="0" w:space="0" w:color="auto"/>
          </w:divBdr>
          <w:divsChild>
            <w:div w:id="1115976397">
              <w:marLeft w:val="0"/>
              <w:marRight w:val="0"/>
              <w:marTop w:val="0"/>
              <w:marBottom w:val="0"/>
              <w:divBdr>
                <w:top w:val="none" w:sz="0" w:space="0" w:color="auto"/>
                <w:left w:val="none" w:sz="0" w:space="0" w:color="auto"/>
                <w:bottom w:val="none" w:sz="0" w:space="0" w:color="auto"/>
                <w:right w:val="none" w:sz="0" w:space="0" w:color="auto"/>
              </w:divBdr>
              <w:divsChild>
                <w:div w:id="15812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72702">
      <w:bodyDiv w:val="1"/>
      <w:marLeft w:val="0"/>
      <w:marRight w:val="0"/>
      <w:marTop w:val="0"/>
      <w:marBottom w:val="0"/>
      <w:divBdr>
        <w:top w:val="none" w:sz="0" w:space="0" w:color="auto"/>
        <w:left w:val="none" w:sz="0" w:space="0" w:color="auto"/>
        <w:bottom w:val="none" w:sz="0" w:space="0" w:color="auto"/>
        <w:right w:val="none" w:sz="0" w:space="0" w:color="auto"/>
      </w:divBdr>
      <w:divsChild>
        <w:div w:id="330834688">
          <w:marLeft w:val="0"/>
          <w:marRight w:val="0"/>
          <w:marTop w:val="0"/>
          <w:marBottom w:val="0"/>
          <w:divBdr>
            <w:top w:val="none" w:sz="0" w:space="0" w:color="auto"/>
            <w:left w:val="none" w:sz="0" w:space="0" w:color="auto"/>
            <w:bottom w:val="none" w:sz="0" w:space="0" w:color="auto"/>
            <w:right w:val="none" w:sz="0" w:space="0" w:color="auto"/>
          </w:divBdr>
          <w:divsChild>
            <w:div w:id="154339278">
              <w:marLeft w:val="0"/>
              <w:marRight w:val="0"/>
              <w:marTop w:val="0"/>
              <w:marBottom w:val="0"/>
              <w:divBdr>
                <w:top w:val="none" w:sz="0" w:space="0" w:color="auto"/>
                <w:left w:val="none" w:sz="0" w:space="0" w:color="auto"/>
                <w:bottom w:val="none" w:sz="0" w:space="0" w:color="auto"/>
                <w:right w:val="none" w:sz="0" w:space="0" w:color="auto"/>
              </w:divBdr>
              <w:divsChild>
                <w:div w:id="273103159">
                  <w:marLeft w:val="0"/>
                  <w:marRight w:val="0"/>
                  <w:marTop w:val="0"/>
                  <w:marBottom w:val="0"/>
                  <w:divBdr>
                    <w:top w:val="none" w:sz="0" w:space="0" w:color="auto"/>
                    <w:left w:val="none" w:sz="0" w:space="0" w:color="auto"/>
                    <w:bottom w:val="none" w:sz="0" w:space="0" w:color="auto"/>
                    <w:right w:val="none" w:sz="0" w:space="0" w:color="auto"/>
                  </w:divBdr>
                </w:div>
              </w:divsChild>
            </w:div>
            <w:div w:id="4210448">
              <w:marLeft w:val="0"/>
              <w:marRight w:val="0"/>
              <w:marTop w:val="0"/>
              <w:marBottom w:val="0"/>
              <w:divBdr>
                <w:top w:val="none" w:sz="0" w:space="0" w:color="auto"/>
                <w:left w:val="none" w:sz="0" w:space="0" w:color="auto"/>
                <w:bottom w:val="none" w:sz="0" w:space="0" w:color="auto"/>
                <w:right w:val="none" w:sz="0" w:space="0" w:color="auto"/>
              </w:divBdr>
              <w:divsChild>
                <w:div w:id="2083941614">
                  <w:marLeft w:val="0"/>
                  <w:marRight w:val="0"/>
                  <w:marTop w:val="0"/>
                  <w:marBottom w:val="0"/>
                  <w:divBdr>
                    <w:top w:val="none" w:sz="0" w:space="0" w:color="auto"/>
                    <w:left w:val="none" w:sz="0" w:space="0" w:color="auto"/>
                    <w:bottom w:val="none" w:sz="0" w:space="0" w:color="auto"/>
                    <w:right w:val="none" w:sz="0" w:space="0" w:color="auto"/>
                  </w:divBdr>
                </w:div>
              </w:divsChild>
            </w:div>
            <w:div w:id="1324315758">
              <w:marLeft w:val="0"/>
              <w:marRight w:val="0"/>
              <w:marTop w:val="0"/>
              <w:marBottom w:val="0"/>
              <w:divBdr>
                <w:top w:val="none" w:sz="0" w:space="0" w:color="auto"/>
                <w:left w:val="none" w:sz="0" w:space="0" w:color="auto"/>
                <w:bottom w:val="none" w:sz="0" w:space="0" w:color="auto"/>
                <w:right w:val="none" w:sz="0" w:space="0" w:color="auto"/>
              </w:divBdr>
              <w:divsChild>
                <w:div w:id="1698198161">
                  <w:marLeft w:val="0"/>
                  <w:marRight w:val="0"/>
                  <w:marTop w:val="0"/>
                  <w:marBottom w:val="0"/>
                  <w:divBdr>
                    <w:top w:val="none" w:sz="0" w:space="0" w:color="auto"/>
                    <w:left w:val="none" w:sz="0" w:space="0" w:color="auto"/>
                    <w:bottom w:val="none" w:sz="0" w:space="0" w:color="auto"/>
                    <w:right w:val="none" w:sz="0" w:space="0" w:color="auto"/>
                  </w:divBdr>
                </w:div>
              </w:divsChild>
            </w:div>
            <w:div w:id="214776982">
              <w:marLeft w:val="0"/>
              <w:marRight w:val="0"/>
              <w:marTop w:val="0"/>
              <w:marBottom w:val="0"/>
              <w:divBdr>
                <w:top w:val="none" w:sz="0" w:space="0" w:color="auto"/>
                <w:left w:val="none" w:sz="0" w:space="0" w:color="auto"/>
                <w:bottom w:val="none" w:sz="0" w:space="0" w:color="auto"/>
                <w:right w:val="none" w:sz="0" w:space="0" w:color="auto"/>
              </w:divBdr>
              <w:divsChild>
                <w:div w:id="1256137781">
                  <w:marLeft w:val="0"/>
                  <w:marRight w:val="0"/>
                  <w:marTop w:val="0"/>
                  <w:marBottom w:val="0"/>
                  <w:divBdr>
                    <w:top w:val="none" w:sz="0" w:space="0" w:color="auto"/>
                    <w:left w:val="none" w:sz="0" w:space="0" w:color="auto"/>
                    <w:bottom w:val="none" w:sz="0" w:space="0" w:color="auto"/>
                    <w:right w:val="none" w:sz="0" w:space="0" w:color="auto"/>
                  </w:divBdr>
                </w:div>
              </w:divsChild>
            </w:div>
            <w:div w:id="2021855602">
              <w:marLeft w:val="0"/>
              <w:marRight w:val="0"/>
              <w:marTop w:val="0"/>
              <w:marBottom w:val="0"/>
              <w:divBdr>
                <w:top w:val="none" w:sz="0" w:space="0" w:color="auto"/>
                <w:left w:val="none" w:sz="0" w:space="0" w:color="auto"/>
                <w:bottom w:val="none" w:sz="0" w:space="0" w:color="auto"/>
                <w:right w:val="none" w:sz="0" w:space="0" w:color="auto"/>
              </w:divBdr>
              <w:divsChild>
                <w:div w:id="1343512779">
                  <w:marLeft w:val="0"/>
                  <w:marRight w:val="0"/>
                  <w:marTop w:val="0"/>
                  <w:marBottom w:val="0"/>
                  <w:divBdr>
                    <w:top w:val="none" w:sz="0" w:space="0" w:color="auto"/>
                    <w:left w:val="none" w:sz="0" w:space="0" w:color="auto"/>
                    <w:bottom w:val="none" w:sz="0" w:space="0" w:color="auto"/>
                    <w:right w:val="none" w:sz="0" w:space="0" w:color="auto"/>
                  </w:divBdr>
                </w:div>
              </w:divsChild>
            </w:div>
            <w:div w:id="793405069">
              <w:marLeft w:val="0"/>
              <w:marRight w:val="0"/>
              <w:marTop w:val="0"/>
              <w:marBottom w:val="0"/>
              <w:divBdr>
                <w:top w:val="none" w:sz="0" w:space="0" w:color="auto"/>
                <w:left w:val="none" w:sz="0" w:space="0" w:color="auto"/>
                <w:bottom w:val="none" w:sz="0" w:space="0" w:color="auto"/>
                <w:right w:val="none" w:sz="0" w:space="0" w:color="auto"/>
              </w:divBdr>
              <w:divsChild>
                <w:div w:id="1319336096">
                  <w:marLeft w:val="0"/>
                  <w:marRight w:val="0"/>
                  <w:marTop w:val="0"/>
                  <w:marBottom w:val="0"/>
                  <w:divBdr>
                    <w:top w:val="none" w:sz="0" w:space="0" w:color="auto"/>
                    <w:left w:val="none" w:sz="0" w:space="0" w:color="auto"/>
                    <w:bottom w:val="none" w:sz="0" w:space="0" w:color="auto"/>
                    <w:right w:val="none" w:sz="0" w:space="0" w:color="auto"/>
                  </w:divBdr>
                </w:div>
              </w:divsChild>
            </w:div>
            <w:div w:id="1619874882">
              <w:marLeft w:val="0"/>
              <w:marRight w:val="0"/>
              <w:marTop w:val="0"/>
              <w:marBottom w:val="0"/>
              <w:divBdr>
                <w:top w:val="none" w:sz="0" w:space="0" w:color="auto"/>
                <w:left w:val="none" w:sz="0" w:space="0" w:color="auto"/>
                <w:bottom w:val="none" w:sz="0" w:space="0" w:color="auto"/>
                <w:right w:val="none" w:sz="0" w:space="0" w:color="auto"/>
              </w:divBdr>
              <w:divsChild>
                <w:div w:id="1141309726">
                  <w:marLeft w:val="0"/>
                  <w:marRight w:val="0"/>
                  <w:marTop w:val="0"/>
                  <w:marBottom w:val="0"/>
                  <w:divBdr>
                    <w:top w:val="none" w:sz="0" w:space="0" w:color="auto"/>
                    <w:left w:val="none" w:sz="0" w:space="0" w:color="auto"/>
                    <w:bottom w:val="none" w:sz="0" w:space="0" w:color="auto"/>
                    <w:right w:val="none" w:sz="0" w:space="0" w:color="auto"/>
                  </w:divBdr>
                </w:div>
              </w:divsChild>
            </w:div>
            <w:div w:id="1430537901">
              <w:marLeft w:val="0"/>
              <w:marRight w:val="0"/>
              <w:marTop w:val="0"/>
              <w:marBottom w:val="0"/>
              <w:divBdr>
                <w:top w:val="none" w:sz="0" w:space="0" w:color="auto"/>
                <w:left w:val="none" w:sz="0" w:space="0" w:color="auto"/>
                <w:bottom w:val="none" w:sz="0" w:space="0" w:color="auto"/>
                <w:right w:val="none" w:sz="0" w:space="0" w:color="auto"/>
              </w:divBdr>
              <w:divsChild>
                <w:div w:id="260723800">
                  <w:marLeft w:val="0"/>
                  <w:marRight w:val="0"/>
                  <w:marTop w:val="0"/>
                  <w:marBottom w:val="0"/>
                  <w:divBdr>
                    <w:top w:val="none" w:sz="0" w:space="0" w:color="auto"/>
                    <w:left w:val="none" w:sz="0" w:space="0" w:color="auto"/>
                    <w:bottom w:val="none" w:sz="0" w:space="0" w:color="auto"/>
                    <w:right w:val="none" w:sz="0" w:space="0" w:color="auto"/>
                  </w:divBdr>
                </w:div>
              </w:divsChild>
            </w:div>
            <w:div w:id="774835317">
              <w:marLeft w:val="0"/>
              <w:marRight w:val="0"/>
              <w:marTop w:val="0"/>
              <w:marBottom w:val="0"/>
              <w:divBdr>
                <w:top w:val="none" w:sz="0" w:space="0" w:color="auto"/>
                <w:left w:val="none" w:sz="0" w:space="0" w:color="auto"/>
                <w:bottom w:val="none" w:sz="0" w:space="0" w:color="auto"/>
                <w:right w:val="none" w:sz="0" w:space="0" w:color="auto"/>
              </w:divBdr>
              <w:divsChild>
                <w:div w:id="42950237">
                  <w:marLeft w:val="0"/>
                  <w:marRight w:val="0"/>
                  <w:marTop w:val="0"/>
                  <w:marBottom w:val="0"/>
                  <w:divBdr>
                    <w:top w:val="none" w:sz="0" w:space="0" w:color="auto"/>
                    <w:left w:val="none" w:sz="0" w:space="0" w:color="auto"/>
                    <w:bottom w:val="none" w:sz="0" w:space="0" w:color="auto"/>
                    <w:right w:val="none" w:sz="0" w:space="0" w:color="auto"/>
                  </w:divBdr>
                </w:div>
              </w:divsChild>
            </w:div>
            <w:div w:id="1766606836">
              <w:marLeft w:val="0"/>
              <w:marRight w:val="0"/>
              <w:marTop w:val="0"/>
              <w:marBottom w:val="0"/>
              <w:divBdr>
                <w:top w:val="none" w:sz="0" w:space="0" w:color="auto"/>
                <w:left w:val="none" w:sz="0" w:space="0" w:color="auto"/>
                <w:bottom w:val="none" w:sz="0" w:space="0" w:color="auto"/>
                <w:right w:val="none" w:sz="0" w:space="0" w:color="auto"/>
              </w:divBdr>
              <w:divsChild>
                <w:div w:id="1965580591">
                  <w:marLeft w:val="0"/>
                  <w:marRight w:val="0"/>
                  <w:marTop w:val="0"/>
                  <w:marBottom w:val="0"/>
                  <w:divBdr>
                    <w:top w:val="none" w:sz="0" w:space="0" w:color="auto"/>
                    <w:left w:val="none" w:sz="0" w:space="0" w:color="auto"/>
                    <w:bottom w:val="none" w:sz="0" w:space="0" w:color="auto"/>
                    <w:right w:val="none" w:sz="0" w:space="0" w:color="auto"/>
                  </w:divBdr>
                </w:div>
              </w:divsChild>
            </w:div>
            <w:div w:id="401564495">
              <w:marLeft w:val="0"/>
              <w:marRight w:val="0"/>
              <w:marTop w:val="0"/>
              <w:marBottom w:val="0"/>
              <w:divBdr>
                <w:top w:val="none" w:sz="0" w:space="0" w:color="auto"/>
                <w:left w:val="none" w:sz="0" w:space="0" w:color="auto"/>
                <w:bottom w:val="none" w:sz="0" w:space="0" w:color="auto"/>
                <w:right w:val="none" w:sz="0" w:space="0" w:color="auto"/>
              </w:divBdr>
              <w:divsChild>
                <w:div w:id="1770811123">
                  <w:marLeft w:val="0"/>
                  <w:marRight w:val="0"/>
                  <w:marTop w:val="0"/>
                  <w:marBottom w:val="0"/>
                  <w:divBdr>
                    <w:top w:val="none" w:sz="0" w:space="0" w:color="auto"/>
                    <w:left w:val="none" w:sz="0" w:space="0" w:color="auto"/>
                    <w:bottom w:val="none" w:sz="0" w:space="0" w:color="auto"/>
                    <w:right w:val="none" w:sz="0" w:space="0" w:color="auto"/>
                  </w:divBdr>
                </w:div>
              </w:divsChild>
            </w:div>
            <w:div w:id="1871457809">
              <w:marLeft w:val="0"/>
              <w:marRight w:val="0"/>
              <w:marTop w:val="0"/>
              <w:marBottom w:val="0"/>
              <w:divBdr>
                <w:top w:val="none" w:sz="0" w:space="0" w:color="auto"/>
                <w:left w:val="none" w:sz="0" w:space="0" w:color="auto"/>
                <w:bottom w:val="none" w:sz="0" w:space="0" w:color="auto"/>
                <w:right w:val="none" w:sz="0" w:space="0" w:color="auto"/>
              </w:divBdr>
              <w:divsChild>
                <w:div w:id="1834685915">
                  <w:marLeft w:val="0"/>
                  <w:marRight w:val="0"/>
                  <w:marTop w:val="0"/>
                  <w:marBottom w:val="0"/>
                  <w:divBdr>
                    <w:top w:val="none" w:sz="0" w:space="0" w:color="auto"/>
                    <w:left w:val="none" w:sz="0" w:space="0" w:color="auto"/>
                    <w:bottom w:val="none" w:sz="0" w:space="0" w:color="auto"/>
                    <w:right w:val="none" w:sz="0" w:space="0" w:color="auto"/>
                  </w:divBdr>
                </w:div>
              </w:divsChild>
            </w:div>
            <w:div w:id="945422888">
              <w:marLeft w:val="0"/>
              <w:marRight w:val="0"/>
              <w:marTop w:val="0"/>
              <w:marBottom w:val="0"/>
              <w:divBdr>
                <w:top w:val="none" w:sz="0" w:space="0" w:color="auto"/>
                <w:left w:val="none" w:sz="0" w:space="0" w:color="auto"/>
                <w:bottom w:val="none" w:sz="0" w:space="0" w:color="auto"/>
                <w:right w:val="none" w:sz="0" w:space="0" w:color="auto"/>
              </w:divBdr>
              <w:divsChild>
                <w:div w:id="1410469910">
                  <w:marLeft w:val="0"/>
                  <w:marRight w:val="0"/>
                  <w:marTop w:val="0"/>
                  <w:marBottom w:val="0"/>
                  <w:divBdr>
                    <w:top w:val="none" w:sz="0" w:space="0" w:color="auto"/>
                    <w:left w:val="none" w:sz="0" w:space="0" w:color="auto"/>
                    <w:bottom w:val="none" w:sz="0" w:space="0" w:color="auto"/>
                    <w:right w:val="none" w:sz="0" w:space="0" w:color="auto"/>
                  </w:divBdr>
                </w:div>
              </w:divsChild>
            </w:div>
            <w:div w:id="240874474">
              <w:marLeft w:val="0"/>
              <w:marRight w:val="0"/>
              <w:marTop w:val="0"/>
              <w:marBottom w:val="0"/>
              <w:divBdr>
                <w:top w:val="none" w:sz="0" w:space="0" w:color="auto"/>
                <w:left w:val="none" w:sz="0" w:space="0" w:color="auto"/>
                <w:bottom w:val="none" w:sz="0" w:space="0" w:color="auto"/>
                <w:right w:val="none" w:sz="0" w:space="0" w:color="auto"/>
              </w:divBdr>
              <w:divsChild>
                <w:div w:id="1290358439">
                  <w:marLeft w:val="0"/>
                  <w:marRight w:val="0"/>
                  <w:marTop w:val="0"/>
                  <w:marBottom w:val="0"/>
                  <w:divBdr>
                    <w:top w:val="none" w:sz="0" w:space="0" w:color="auto"/>
                    <w:left w:val="none" w:sz="0" w:space="0" w:color="auto"/>
                    <w:bottom w:val="none" w:sz="0" w:space="0" w:color="auto"/>
                    <w:right w:val="none" w:sz="0" w:space="0" w:color="auto"/>
                  </w:divBdr>
                </w:div>
              </w:divsChild>
            </w:div>
            <w:div w:id="1930851786">
              <w:marLeft w:val="0"/>
              <w:marRight w:val="0"/>
              <w:marTop w:val="0"/>
              <w:marBottom w:val="0"/>
              <w:divBdr>
                <w:top w:val="none" w:sz="0" w:space="0" w:color="auto"/>
                <w:left w:val="none" w:sz="0" w:space="0" w:color="auto"/>
                <w:bottom w:val="none" w:sz="0" w:space="0" w:color="auto"/>
                <w:right w:val="none" w:sz="0" w:space="0" w:color="auto"/>
              </w:divBdr>
              <w:divsChild>
                <w:div w:id="49381328">
                  <w:marLeft w:val="0"/>
                  <w:marRight w:val="0"/>
                  <w:marTop w:val="0"/>
                  <w:marBottom w:val="0"/>
                  <w:divBdr>
                    <w:top w:val="none" w:sz="0" w:space="0" w:color="auto"/>
                    <w:left w:val="none" w:sz="0" w:space="0" w:color="auto"/>
                    <w:bottom w:val="none" w:sz="0" w:space="0" w:color="auto"/>
                    <w:right w:val="none" w:sz="0" w:space="0" w:color="auto"/>
                  </w:divBdr>
                </w:div>
              </w:divsChild>
            </w:div>
            <w:div w:id="44331222">
              <w:marLeft w:val="0"/>
              <w:marRight w:val="0"/>
              <w:marTop w:val="0"/>
              <w:marBottom w:val="0"/>
              <w:divBdr>
                <w:top w:val="none" w:sz="0" w:space="0" w:color="auto"/>
                <w:left w:val="none" w:sz="0" w:space="0" w:color="auto"/>
                <w:bottom w:val="none" w:sz="0" w:space="0" w:color="auto"/>
                <w:right w:val="none" w:sz="0" w:space="0" w:color="auto"/>
              </w:divBdr>
              <w:divsChild>
                <w:div w:id="1995913163">
                  <w:marLeft w:val="0"/>
                  <w:marRight w:val="0"/>
                  <w:marTop w:val="0"/>
                  <w:marBottom w:val="0"/>
                  <w:divBdr>
                    <w:top w:val="none" w:sz="0" w:space="0" w:color="auto"/>
                    <w:left w:val="none" w:sz="0" w:space="0" w:color="auto"/>
                    <w:bottom w:val="none" w:sz="0" w:space="0" w:color="auto"/>
                    <w:right w:val="none" w:sz="0" w:space="0" w:color="auto"/>
                  </w:divBdr>
                </w:div>
              </w:divsChild>
            </w:div>
            <w:div w:id="1204054700">
              <w:marLeft w:val="0"/>
              <w:marRight w:val="0"/>
              <w:marTop w:val="0"/>
              <w:marBottom w:val="0"/>
              <w:divBdr>
                <w:top w:val="none" w:sz="0" w:space="0" w:color="auto"/>
                <w:left w:val="none" w:sz="0" w:space="0" w:color="auto"/>
                <w:bottom w:val="none" w:sz="0" w:space="0" w:color="auto"/>
                <w:right w:val="none" w:sz="0" w:space="0" w:color="auto"/>
              </w:divBdr>
              <w:divsChild>
                <w:div w:id="1671715311">
                  <w:marLeft w:val="0"/>
                  <w:marRight w:val="0"/>
                  <w:marTop w:val="0"/>
                  <w:marBottom w:val="0"/>
                  <w:divBdr>
                    <w:top w:val="none" w:sz="0" w:space="0" w:color="auto"/>
                    <w:left w:val="none" w:sz="0" w:space="0" w:color="auto"/>
                    <w:bottom w:val="none" w:sz="0" w:space="0" w:color="auto"/>
                    <w:right w:val="none" w:sz="0" w:space="0" w:color="auto"/>
                  </w:divBdr>
                </w:div>
              </w:divsChild>
            </w:div>
            <w:div w:id="1909530507">
              <w:marLeft w:val="0"/>
              <w:marRight w:val="0"/>
              <w:marTop w:val="0"/>
              <w:marBottom w:val="0"/>
              <w:divBdr>
                <w:top w:val="none" w:sz="0" w:space="0" w:color="auto"/>
                <w:left w:val="none" w:sz="0" w:space="0" w:color="auto"/>
                <w:bottom w:val="none" w:sz="0" w:space="0" w:color="auto"/>
                <w:right w:val="none" w:sz="0" w:space="0" w:color="auto"/>
              </w:divBdr>
              <w:divsChild>
                <w:div w:id="2087265232">
                  <w:marLeft w:val="0"/>
                  <w:marRight w:val="0"/>
                  <w:marTop w:val="0"/>
                  <w:marBottom w:val="0"/>
                  <w:divBdr>
                    <w:top w:val="none" w:sz="0" w:space="0" w:color="auto"/>
                    <w:left w:val="none" w:sz="0" w:space="0" w:color="auto"/>
                    <w:bottom w:val="none" w:sz="0" w:space="0" w:color="auto"/>
                    <w:right w:val="none" w:sz="0" w:space="0" w:color="auto"/>
                  </w:divBdr>
                </w:div>
              </w:divsChild>
            </w:div>
            <w:div w:id="1948586387">
              <w:marLeft w:val="0"/>
              <w:marRight w:val="0"/>
              <w:marTop w:val="0"/>
              <w:marBottom w:val="0"/>
              <w:divBdr>
                <w:top w:val="none" w:sz="0" w:space="0" w:color="auto"/>
                <w:left w:val="none" w:sz="0" w:space="0" w:color="auto"/>
                <w:bottom w:val="none" w:sz="0" w:space="0" w:color="auto"/>
                <w:right w:val="none" w:sz="0" w:space="0" w:color="auto"/>
              </w:divBdr>
              <w:divsChild>
                <w:div w:id="962924741">
                  <w:marLeft w:val="0"/>
                  <w:marRight w:val="0"/>
                  <w:marTop w:val="0"/>
                  <w:marBottom w:val="0"/>
                  <w:divBdr>
                    <w:top w:val="none" w:sz="0" w:space="0" w:color="auto"/>
                    <w:left w:val="none" w:sz="0" w:space="0" w:color="auto"/>
                    <w:bottom w:val="none" w:sz="0" w:space="0" w:color="auto"/>
                    <w:right w:val="none" w:sz="0" w:space="0" w:color="auto"/>
                  </w:divBdr>
                </w:div>
              </w:divsChild>
            </w:div>
            <w:div w:id="1849058302">
              <w:marLeft w:val="0"/>
              <w:marRight w:val="0"/>
              <w:marTop w:val="0"/>
              <w:marBottom w:val="0"/>
              <w:divBdr>
                <w:top w:val="none" w:sz="0" w:space="0" w:color="auto"/>
                <w:left w:val="none" w:sz="0" w:space="0" w:color="auto"/>
                <w:bottom w:val="none" w:sz="0" w:space="0" w:color="auto"/>
                <w:right w:val="none" w:sz="0" w:space="0" w:color="auto"/>
              </w:divBdr>
              <w:divsChild>
                <w:div w:id="1391540244">
                  <w:marLeft w:val="0"/>
                  <w:marRight w:val="0"/>
                  <w:marTop w:val="0"/>
                  <w:marBottom w:val="0"/>
                  <w:divBdr>
                    <w:top w:val="none" w:sz="0" w:space="0" w:color="auto"/>
                    <w:left w:val="none" w:sz="0" w:space="0" w:color="auto"/>
                    <w:bottom w:val="none" w:sz="0" w:space="0" w:color="auto"/>
                    <w:right w:val="none" w:sz="0" w:space="0" w:color="auto"/>
                  </w:divBdr>
                </w:div>
              </w:divsChild>
            </w:div>
            <w:div w:id="2116434264">
              <w:marLeft w:val="0"/>
              <w:marRight w:val="0"/>
              <w:marTop w:val="0"/>
              <w:marBottom w:val="0"/>
              <w:divBdr>
                <w:top w:val="none" w:sz="0" w:space="0" w:color="auto"/>
                <w:left w:val="none" w:sz="0" w:space="0" w:color="auto"/>
                <w:bottom w:val="none" w:sz="0" w:space="0" w:color="auto"/>
                <w:right w:val="none" w:sz="0" w:space="0" w:color="auto"/>
              </w:divBdr>
              <w:divsChild>
                <w:div w:id="1035888093">
                  <w:marLeft w:val="0"/>
                  <w:marRight w:val="0"/>
                  <w:marTop w:val="0"/>
                  <w:marBottom w:val="0"/>
                  <w:divBdr>
                    <w:top w:val="none" w:sz="0" w:space="0" w:color="auto"/>
                    <w:left w:val="none" w:sz="0" w:space="0" w:color="auto"/>
                    <w:bottom w:val="none" w:sz="0" w:space="0" w:color="auto"/>
                    <w:right w:val="none" w:sz="0" w:space="0" w:color="auto"/>
                  </w:divBdr>
                </w:div>
              </w:divsChild>
            </w:div>
            <w:div w:id="702823488">
              <w:marLeft w:val="0"/>
              <w:marRight w:val="0"/>
              <w:marTop w:val="0"/>
              <w:marBottom w:val="0"/>
              <w:divBdr>
                <w:top w:val="none" w:sz="0" w:space="0" w:color="auto"/>
                <w:left w:val="none" w:sz="0" w:space="0" w:color="auto"/>
                <w:bottom w:val="none" w:sz="0" w:space="0" w:color="auto"/>
                <w:right w:val="none" w:sz="0" w:space="0" w:color="auto"/>
              </w:divBdr>
              <w:divsChild>
                <w:div w:id="2072460550">
                  <w:marLeft w:val="0"/>
                  <w:marRight w:val="0"/>
                  <w:marTop w:val="0"/>
                  <w:marBottom w:val="0"/>
                  <w:divBdr>
                    <w:top w:val="none" w:sz="0" w:space="0" w:color="auto"/>
                    <w:left w:val="none" w:sz="0" w:space="0" w:color="auto"/>
                    <w:bottom w:val="none" w:sz="0" w:space="0" w:color="auto"/>
                    <w:right w:val="none" w:sz="0" w:space="0" w:color="auto"/>
                  </w:divBdr>
                </w:div>
              </w:divsChild>
            </w:div>
            <w:div w:id="668211615">
              <w:marLeft w:val="0"/>
              <w:marRight w:val="0"/>
              <w:marTop w:val="0"/>
              <w:marBottom w:val="0"/>
              <w:divBdr>
                <w:top w:val="none" w:sz="0" w:space="0" w:color="auto"/>
                <w:left w:val="none" w:sz="0" w:space="0" w:color="auto"/>
                <w:bottom w:val="none" w:sz="0" w:space="0" w:color="auto"/>
                <w:right w:val="none" w:sz="0" w:space="0" w:color="auto"/>
              </w:divBdr>
              <w:divsChild>
                <w:div w:id="1792625800">
                  <w:marLeft w:val="0"/>
                  <w:marRight w:val="0"/>
                  <w:marTop w:val="0"/>
                  <w:marBottom w:val="0"/>
                  <w:divBdr>
                    <w:top w:val="none" w:sz="0" w:space="0" w:color="auto"/>
                    <w:left w:val="none" w:sz="0" w:space="0" w:color="auto"/>
                    <w:bottom w:val="none" w:sz="0" w:space="0" w:color="auto"/>
                    <w:right w:val="none" w:sz="0" w:space="0" w:color="auto"/>
                  </w:divBdr>
                </w:div>
              </w:divsChild>
            </w:div>
            <w:div w:id="458955156">
              <w:marLeft w:val="0"/>
              <w:marRight w:val="0"/>
              <w:marTop w:val="0"/>
              <w:marBottom w:val="0"/>
              <w:divBdr>
                <w:top w:val="none" w:sz="0" w:space="0" w:color="auto"/>
                <w:left w:val="none" w:sz="0" w:space="0" w:color="auto"/>
                <w:bottom w:val="none" w:sz="0" w:space="0" w:color="auto"/>
                <w:right w:val="none" w:sz="0" w:space="0" w:color="auto"/>
              </w:divBdr>
              <w:divsChild>
                <w:div w:id="171072879">
                  <w:marLeft w:val="0"/>
                  <w:marRight w:val="0"/>
                  <w:marTop w:val="0"/>
                  <w:marBottom w:val="0"/>
                  <w:divBdr>
                    <w:top w:val="none" w:sz="0" w:space="0" w:color="auto"/>
                    <w:left w:val="none" w:sz="0" w:space="0" w:color="auto"/>
                    <w:bottom w:val="none" w:sz="0" w:space="0" w:color="auto"/>
                    <w:right w:val="none" w:sz="0" w:space="0" w:color="auto"/>
                  </w:divBdr>
                </w:div>
              </w:divsChild>
            </w:div>
            <w:div w:id="575824863">
              <w:marLeft w:val="0"/>
              <w:marRight w:val="0"/>
              <w:marTop w:val="0"/>
              <w:marBottom w:val="0"/>
              <w:divBdr>
                <w:top w:val="none" w:sz="0" w:space="0" w:color="auto"/>
                <w:left w:val="none" w:sz="0" w:space="0" w:color="auto"/>
                <w:bottom w:val="none" w:sz="0" w:space="0" w:color="auto"/>
                <w:right w:val="none" w:sz="0" w:space="0" w:color="auto"/>
              </w:divBdr>
              <w:divsChild>
                <w:div w:id="1079131962">
                  <w:marLeft w:val="0"/>
                  <w:marRight w:val="0"/>
                  <w:marTop w:val="0"/>
                  <w:marBottom w:val="0"/>
                  <w:divBdr>
                    <w:top w:val="none" w:sz="0" w:space="0" w:color="auto"/>
                    <w:left w:val="none" w:sz="0" w:space="0" w:color="auto"/>
                    <w:bottom w:val="none" w:sz="0" w:space="0" w:color="auto"/>
                    <w:right w:val="none" w:sz="0" w:space="0" w:color="auto"/>
                  </w:divBdr>
                </w:div>
              </w:divsChild>
            </w:div>
            <w:div w:id="1179655399">
              <w:marLeft w:val="0"/>
              <w:marRight w:val="0"/>
              <w:marTop w:val="0"/>
              <w:marBottom w:val="0"/>
              <w:divBdr>
                <w:top w:val="none" w:sz="0" w:space="0" w:color="auto"/>
                <w:left w:val="none" w:sz="0" w:space="0" w:color="auto"/>
                <w:bottom w:val="none" w:sz="0" w:space="0" w:color="auto"/>
                <w:right w:val="none" w:sz="0" w:space="0" w:color="auto"/>
              </w:divBdr>
              <w:divsChild>
                <w:div w:id="2119642517">
                  <w:marLeft w:val="0"/>
                  <w:marRight w:val="0"/>
                  <w:marTop w:val="0"/>
                  <w:marBottom w:val="0"/>
                  <w:divBdr>
                    <w:top w:val="none" w:sz="0" w:space="0" w:color="auto"/>
                    <w:left w:val="none" w:sz="0" w:space="0" w:color="auto"/>
                    <w:bottom w:val="none" w:sz="0" w:space="0" w:color="auto"/>
                    <w:right w:val="none" w:sz="0" w:space="0" w:color="auto"/>
                  </w:divBdr>
                </w:div>
              </w:divsChild>
            </w:div>
            <w:div w:id="1437796257">
              <w:marLeft w:val="0"/>
              <w:marRight w:val="0"/>
              <w:marTop w:val="0"/>
              <w:marBottom w:val="0"/>
              <w:divBdr>
                <w:top w:val="none" w:sz="0" w:space="0" w:color="auto"/>
                <w:left w:val="none" w:sz="0" w:space="0" w:color="auto"/>
                <w:bottom w:val="none" w:sz="0" w:space="0" w:color="auto"/>
                <w:right w:val="none" w:sz="0" w:space="0" w:color="auto"/>
              </w:divBdr>
              <w:divsChild>
                <w:div w:id="1766876866">
                  <w:marLeft w:val="0"/>
                  <w:marRight w:val="0"/>
                  <w:marTop w:val="0"/>
                  <w:marBottom w:val="0"/>
                  <w:divBdr>
                    <w:top w:val="none" w:sz="0" w:space="0" w:color="auto"/>
                    <w:left w:val="none" w:sz="0" w:space="0" w:color="auto"/>
                    <w:bottom w:val="none" w:sz="0" w:space="0" w:color="auto"/>
                    <w:right w:val="none" w:sz="0" w:space="0" w:color="auto"/>
                  </w:divBdr>
                </w:div>
              </w:divsChild>
            </w:div>
            <w:div w:id="107506401">
              <w:marLeft w:val="0"/>
              <w:marRight w:val="0"/>
              <w:marTop w:val="0"/>
              <w:marBottom w:val="0"/>
              <w:divBdr>
                <w:top w:val="none" w:sz="0" w:space="0" w:color="auto"/>
                <w:left w:val="none" w:sz="0" w:space="0" w:color="auto"/>
                <w:bottom w:val="none" w:sz="0" w:space="0" w:color="auto"/>
                <w:right w:val="none" w:sz="0" w:space="0" w:color="auto"/>
              </w:divBdr>
              <w:divsChild>
                <w:div w:id="1119032628">
                  <w:marLeft w:val="0"/>
                  <w:marRight w:val="0"/>
                  <w:marTop w:val="0"/>
                  <w:marBottom w:val="0"/>
                  <w:divBdr>
                    <w:top w:val="none" w:sz="0" w:space="0" w:color="auto"/>
                    <w:left w:val="none" w:sz="0" w:space="0" w:color="auto"/>
                    <w:bottom w:val="none" w:sz="0" w:space="0" w:color="auto"/>
                    <w:right w:val="none" w:sz="0" w:space="0" w:color="auto"/>
                  </w:divBdr>
                </w:div>
              </w:divsChild>
            </w:div>
            <w:div w:id="913930128">
              <w:marLeft w:val="0"/>
              <w:marRight w:val="0"/>
              <w:marTop w:val="0"/>
              <w:marBottom w:val="0"/>
              <w:divBdr>
                <w:top w:val="none" w:sz="0" w:space="0" w:color="auto"/>
                <w:left w:val="none" w:sz="0" w:space="0" w:color="auto"/>
                <w:bottom w:val="none" w:sz="0" w:space="0" w:color="auto"/>
                <w:right w:val="none" w:sz="0" w:space="0" w:color="auto"/>
              </w:divBdr>
              <w:divsChild>
                <w:div w:id="1443256978">
                  <w:marLeft w:val="0"/>
                  <w:marRight w:val="0"/>
                  <w:marTop w:val="0"/>
                  <w:marBottom w:val="0"/>
                  <w:divBdr>
                    <w:top w:val="none" w:sz="0" w:space="0" w:color="auto"/>
                    <w:left w:val="none" w:sz="0" w:space="0" w:color="auto"/>
                    <w:bottom w:val="none" w:sz="0" w:space="0" w:color="auto"/>
                    <w:right w:val="none" w:sz="0" w:space="0" w:color="auto"/>
                  </w:divBdr>
                </w:div>
              </w:divsChild>
            </w:div>
            <w:div w:id="791823969">
              <w:marLeft w:val="0"/>
              <w:marRight w:val="0"/>
              <w:marTop w:val="0"/>
              <w:marBottom w:val="0"/>
              <w:divBdr>
                <w:top w:val="none" w:sz="0" w:space="0" w:color="auto"/>
                <w:left w:val="none" w:sz="0" w:space="0" w:color="auto"/>
                <w:bottom w:val="none" w:sz="0" w:space="0" w:color="auto"/>
                <w:right w:val="none" w:sz="0" w:space="0" w:color="auto"/>
              </w:divBdr>
              <w:divsChild>
                <w:div w:id="98531237">
                  <w:marLeft w:val="0"/>
                  <w:marRight w:val="0"/>
                  <w:marTop w:val="0"/>
                  <w:marBottom w:val="0"/>
                  <w:divBdr>
                    <w:top w:val="none" w:sz="0" w:space="0" w:color="auto"/>
                    <w:left w:val="none" w:sz="0" w:space="0" w:color="auto"/>
                    <w:bottom w:val="none" w:sz="0" w:space="0" w:color="auto"/>
                    <w:right w:val="none" w:sz="0" w:space="0" w:color="auto"/>
                  </w:divBdr>
                </w:div>
              </w:divsChild>
            </w:div>
            <w:div w:id="161629815">
              <w:marLeft w:val="0"/>
              <w:marRight w:val="0"/>
              <w:marTop w:val="0"/>
              <w:marBottom w:val="0"/>
              <w:divBdr>
                <w:top w:val="none" w:sz="0" w:space="0" w:color="auto"/>
                <w:left w:val="none" w:sz="0" w:space="0" w:color="auto"/>
                <w:bottom w:val="none" w:sz="0" w:space="0" w:color="auto"/>
                <w:right w:val="none" w:sz="0" w:space="0" w:color="auto"/>
              </w:divBdr>
              <w:divsChild>
                <w:div w:id="185025107">
                  <w:marLeft w:val="0"/>
                  <w:marRight w:val="0"/>
                  <w:marTop w:val="0"/>
                  <w:marBottom w:val="0"/>
                  <w:divBdr>
                    <w:top w:val="none" w:sz="0" w:space="0" w:color="auto"/>
                    <w:left w:val="none" w:sz="0" w:space="0" w:color="auto"/>
                    <w:bottom w:val="none" w:sz="0" w:space="0" w:color="auto"/>
                    <w:right w:val="none" w:sz="0" w:space="0" w:color="auto"/>
                  </w:divBdr>
                </w:div>
              </w:divsChild>
            </w:div>
            <w:div w:id="513767251">
              <w:marLeft w:val="0"/>
              <w:marRight w:val="0"/>
              <w:marTop w:val="0"/>
              <w:marBottom w:val="0"/>
              <w:divBdr>
                <w:top w:val="none" w:sz="0" w:space="0" w:color="auto"/>
                <w:left w:val="none" w:sz="0" w:space="0" w:color="auto"/>
                <w:bottom w:val="none" w:sz="0" w:space="0" w:color="auto"/>
                <w:right w:val="none" w:sz="0" w:space="0" w:color="auto"/>
              </w:divBdr>
              <w:divsChild>
                <w:div w:id="1446073524">
                  <w:marLeft w:val="0"/>
                  <w:marRight w:val="0"/>
                  <w:marTop w:val="0"/>
                  <w:marBottom w:val="0"/>
                  <w:divBdr>
                    <w:top w:val="none" w:sz="0" w:space="0" w:color="auto"/>
                    <w:left w:val="none" w:sz="0" w:space="0" w:color="auto"/>
                    <w:bottom w:val="none" w:sz="0" w:space="0" w:color="auto"/>
                    <w:right w:val="none" w:sz="0" w:space="0" w:color="auto"/>
                  </w:divBdr>
                </w:div>
              </w:divsChild>
            </w:div>
            <w:div w:id="166025787">
              <w:marLeft w:val="0"/>
              <w:marRight w:val="0"/>
              <w:marTop w:val="0"/>
              <w:marBottom w:val="0"/>
              <w:divBdr>
                <w:top w:val="none" w:sz="0" w:space="0" w:color="auto"/>
                <w:left w:val="none" w:sz="0" w:space="0" w:color="auto"/>
                <w:bottom w:val="none" w:sz="0" w:space="0" w:color="auto"/>
                <w:right w:val="none" w:sz="0" w:space="0" w:color="auto"/>
              </w:divBdr>
              <w:divsChild>
                <w:div w:id="1763721304">
                  <w:marLeft w:val="0"/>
                  <w:marRight w:val="0"/>
                  <w:marTop w:val="0"/>
                  <w:marBottom w:val="0"/>
                  <w:divBdr>
                    <w:top w:val="none" w:sz="0" w:space="0" w:color="auto"/>
                    <w:left w:val="none" w:sz="0" w:space="0" w:color="auto"/>
                    <w:bottom w:val="none" w:sz="0" w:space="0" w:color="auto"/>
                    <w:right w:val="none" w:sz="0" w:space="0" w:color="auto"/>
                  </w:divBdr>
                </w:div>
              </w:divsChild>
            </w:div>
            <w:div w:id="456800824">
              <w:marLeft w:val="0"/>
              <w:marRight w:val="0"/>
              <w:marTop w:val="0"/>
              <w:marBottom w:val="0"/>
              <w:divBdr>
                <w:top w:val="none" w:sz="0" w:space="0" w:color="auto"/>
                <w:left w:val="none" w:sz="0" w:space="0" w:color="auto"/>
                <w:bottom w:val="none" w:sz="0" w:space="0" w:color="auto"/>
                <w:right w:val="none" w:sz="0" w:space="0" w:color="auto"/>
              </w:divBdr>
              <w:divsChild>
                <w:div w:id="921255220">
                  <w:marLeft w:val="0"/>
                  <w:marRight w:val="0"/>
                  <w:marTop w:val="0"/>
                  <w:marBottom w:val="0"/>
                  <w:divBdr>
                    <w:top w:val="none" w:sz="0" w:space="0" w:color="auto"/>
                    <w:left w:val="none" w:sz="0" w:space="0" w:color="auto"/>
                    <w:bottom w:val="none" w:sz="0" w:space="0" w:color="auto"/>
                    <w:right w:val="none" w:sz="0" w:space="0" w:color="auto"/>
                  </w:divBdr>
                </w:div>
              </w:divsChild>
            </w:div>
            <w:div w:id="432633595">
              <w:marLeft w:val="0"/>
              <w:marRight w:val="0"/>
              <w:marTop w:val="0"/>
              <w:marBottom w:val="0"/>
              <w:divBdr>
                <w:top w:val="none" w:sz="0" w:space="0" w:color="auto"/>
                <w:left w:val="none" w:sz="0" w:space="0" w:color="auto"/>
                <w:bottom w:val="none" w:sz="0" w:space="0" w:color="auto"/>
                <w:right w:val="none" w:sz="0" w:space="0" w:color="auto"/>
              </w:divBdr>
              <w:divsChild>
                <w:div w:id="345526098">
                  <w:marLeft w:val="0"/>
                  <w:marRight w:val="0"/>
                  <w:marTop w:val="0"/>
                  <w:marBottom w:val="0"/>
                  <w:divBdr>
                    <w:top w:val="none" w:sz="0" w:space="0" w:color="auto"/>
                    <w:left w:val="none" w:sz="0" w:space="0" w:color="auto"/>
                    <w:bottom w:val="none" w:sz="0" w:space="0" w:color="auto"/>
                    <w:right w:val="none" w:sz="0" w:space="0" w:color="auto"/>
                  </w:divBdr>
                </w:div>
              </w:divsChild>
            </w:div>
            <w:div w:id="41369364">
              <w:marLeft w:val="0"/>
              <w:marRight w:val="0"/>
              <w:marTop w:val="0"/>
              <w:marBottom w:val="0"/>
              <w:divBdr>
                <w:top w:val="none" w:sz="0" w:space="0" w:color="auto"/>
                <w:left w:val="none" w:sz="0" w:space="0" w:color="auto"/>
                <w:bottom w:val="none" w:sz="0" w:space="0" w:color="auto"/>
                <w:right w:val="none" w:sz="0" w:space="0" w:color="auto"/>
              </w:divBdr>
              <w:divsChild>
                <w:div w:id="9499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0838">
      <w:bodyDiv w:val="1"/>
      <w:marLeft w:val="0"/>
      <w:marRight w:val="0"/>
      <w:marTop w:val="0"/>
      <w:marBottom w:val="0"/>
      <w:divBdr>
        <w:top w:val="none" w:sz="0" w:space="0" w:color="auto"/>
        <w:left w:val="none" w:sz="0" w:space="0" w:color="auto"/>
        <w:bottom w:val="none" w:sz="0" w:space="0" w:color="auto"/>
        <w:right w:val="none" w:sz="0" w:space="0" w:color="auto"/>
      </w:divBdr>
    </w:div>
    <w:div w:id="1825001390">
      <w:bodyDiv w:val="1"/>
      <w:marLeft w:val="0"/>
      <w:marRight w:val="0"/>
      <w:marTop w:val="0"/>
      <w:marBottom w:val="0"/>
      <w:divBdr>
        <w:top w:val="none" w:sz="0" w:space="0" w:color="auto"/>
        <w:left w:val="none" w:sz="0" w:space="0" w:color="auto"/>
        <w:bottom w:val="none" w:sz="0" w:space="0" w:color="auto"/>
        <w:right w:val="none" w:sz="0" w:space="0" w:color="auto"/>
      </w:divBdr>
      <w:divsChild>
        <w:div w:id="1287808682">
          <w:marLeft w:val="360"/>
          <w:marRight w:val="0"/>
          <w:marTop w:val="360"/>
          <w:marBottom w:val="0"/>
          <w:divBdr>
            <w:top w:val="none" w:sz="0" w:space="0" w:color="auto"/>
            <w:left w:val="none" w:sz="0" w:space="0" w:color="auto"/>
            <w:bottom w:val="none" w:sz="0" w:space="0" w:color="auto"/>
            <w:right w:val="none" w:sz="0" w:space="0" w:color="auto"/>
          </w:divBdr>
        </w:div>
        <w:div w:id="230850325">
          <w:marLeft w:val="360"/>
          <w:marRight w:val="0"/>
          <w:marTop w:val="360"/>
          <w:marBottom w:val="0"/>
          <w:divBdr>
            <w:top w:val="none" w:sz="0" w:space="0" w:color="auto"/>
            <w:left w:val="none" w:sz="0" w:space="0" w:color="auto"/>
            <w:bottom w:val="none" w:sz="0" w:space="0" w:color="auto"/>
            <w:right w:val="none" w:sz="0" w:space="0" w:color="auto"/>
          </w:divBdr>
        </w:div>
        <w:div w:id="870073082">
          <w:marLeft w:val="360"/>
          <w:marRight w:val="0"/>
          <w:marTop w:val="360"/>
          <w:marBottom w:val="0"/>
          <w:divBdr>
            <w:top w:val="none" w:sz="0" w:space="0" w:color="auto"/>
            <w:left w:val="none" w:sz="0" w:space="0" w:color="auto"/>
            <w:bottom w:val="none" w:sz="0" w:space="0" w:color="auto"/>
            <w:right w:val="none" w:sz="0" w:space="0" w:color="auto"/>
          </w:divBdr>
        </w:div>
        <w:div w:id="1668945053">
          <w:marLeft w:val="360"/>
          <w:marRight w:val="0"/>
          <w:marTop w:val="360"/>
          <w:marBottom w:val="0"/>
          <w:divBdr>
            <w:top w:val="none" w:sz="0" w:space="0" w:color="auto"/>
            <w:left w:val="none" w:sz="0" w:space="0" w:color="auto"/>
            <w:bottom w:val="none" w:sz="0" w:space="0" w:color="auto"/>
            <w:right w:val="none" w:sz="0" w:space="0" w:color="auto"/>
          </w:divBdr>
        </w:div>
        <w:div w:id="1229849505">
          <w:marLeft w:val="360"/>
          <w:marRight w:val="0"/>
          <w:marTop w:val="360"/>
          <w:marBottom w:val="0"/>
          <w:divBdr>
            <w:top w:val="none" w:sz="0" w:space="0" w:color="auto"/>
            <w:left w:val="none" w:sz="0" w:space="0" w:color="auto"/>
            <w:bottom w:val="none" w:sz="0" w:space="0" w:color="auto"/>
            <w:right w:val="none" w:sz="0" w:space="0" w:color="auto"/>
          </w:divBdr>
        </w:div>
        <w:div w:id="1828402379">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chart" Target="charts/chart30.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PHOTO%20FD:LCC%20Assessment:LCC%20Learning%20Outcomes%20Database.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0.xml"/><Relationship Id="rId1" Type="http://schemas.microsoft.com/office/2011/relationships/chartStyle" Target="style20.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 of Curriculum Allocated to Each Essential Learning Outcome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Sheet2!$B$116</c:f>
              <c:strCache>
                <c:ptCount val="1"/>
                <c:pt idx="0">
                  <c:v>LCC Overall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Sheet2!$A$117:$A$120</c:f>
              <c:strCache>
                <c:ptCount val="4"/>
                <c:pt idx="0">
                  <c:v>ELO 4: Integrative and Applied Learning</c:v>
                </c:pt>
                <c:pt idx="1">
                  <c:v>ELO 3: Personal and Social Responsibility </c:v>
                </c:pt>
                <c:pt idx="2">
                  <c:v>ELO 2: Intellectual and Practical Skills </c:v>
                </c:pt>
                <c:pt idx="3">
                  <c:v>ELO 1: Knowledge of Human Cultures and the Physical &amp; Natural World</c:v>
                </c:pt>
              </c:strCache>
            </c:strRef>
          </c:cat>
          <c:val>
            <c:numRef>
              <c:f>Sheet2!$B$117:$B$120</c:f>
              <c:numCache>
                <c:formatCode>0%</c:formatCode>
                <c:ptCount val="4"/>
                <c:pt idx="0">
                  <c:v>0.53</c:v>
                </c:pt>
                <c:pt idx="1">
                  <c:v>0.39</c:v>
                </c:pt>
                <c:pt idx="2">
                  <c:v>0.59</c:v>
                </c:pt>
                <c:pt idx="3">
                  <c:v>0.44</c:v>
                </c:pt>
              </c:numCache>
            </c:numRef>
          </c:val>
        </c:ser>
        <c:ser>
          <c:idx val="1"/>
          <c:order val="1"/>
          <c:tx>
            <c:strRef>
              <c:f>Sheet2!$C$116</c:f>
              <c:strCache>
                <c:ptCount val="1"/>
                <c:pt idx="0">
                  <c:v>Arts &amp; Sciences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Sheet2!$A$117:$A$120</c:f>
              <c:strCache>
                <c:ptCount val="4"/>
                <c:pt idx="0">
                  <c:v>ELO 4: Integrative and Applied Learning</c:v>
                </c:pt>
                <c:pt idx="1">
                  <c:v>ELO 3: Personal and Social Responsibility </c:v>
                </c:pt>
                <c:pt idx="2">
                  <c:v>ELO 2: Intellectual and Practical Skills </c:v>
                </c:pt>
                <c:pt idx="3">
                  <c:v>ELO 1: Knowledge of Human Cultures and the Physical &amp; Natural World</c:v>
                </c:pt>
              </c:strCache>
            </c:strRef>
          </c:cat>
          <c:val>
            <c:numRef>
              <c:f>Sheet2!$C$117:$C$120</c:f>
              <c:numCache>
                <c:formatCode>0%</c:formatCode>
                <c:ptCount val="4"/>
                <c:pt idx="0">
                  <c:v>0.61</c:v>
                </c:pt>
                <c:pt idx="1">
                  <c:v>0.47</c:v>
                </c:pt>
                <c:pt idx="2">
                  <c:v>0.71</c:v>
                </c:pt>
                <c:pt idx="3">
                  <c:v>0.55000000000000004</c:v>
                </c:pt>
              </c:numCache>
            </c:numRef>
          </c:val>
        </c:ser>
        <c:ser>
          <c:idx val="2"/>
          <c:order val="2"/>
          <c:tx>
            <c:strRef>
              <c:f>Sheet2!$D$116</c:f>
              <c:strCache>
                <c:ptCount val="1"/>
                <c:pt idx="0">
                  <c:v>Technical Careers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Sheet2!$A$117:$A$120</c:f>
              <c:strCache>
                <c:ptCount val="4"/>
                <c:pt idx="0">
                  <c:v>ELO 4: Integrative and Applied Learning</c:v>
                </c:pt>
                <c:pt idx="1">
                  <c:v>ELO 3: Personal and Social Responsibility </c:v>
                </c:pt>
                <c:pt idx="2">
                  <c:v>ELO 2: Intellectual and Practical Skills </c:v>
                </c:pt>
                <c:pt idx="3">
                  <c:v>ELO 1: Knowledge of Human Cultures and the Physical &amp; Natural World</c:v>
                </c:pt>
              </c:strCache>
            </c:strRef>
          </c:cat>
          <c:val>
            <c:numRef>
              <c:f>Sheet2!$D$117:$D$120</c:f>
              <c:numCache>
                <c:formatCode>0%</c:formatCode>
                <c:ptCount val="4"/>
                <c:pt idx="0">
                  <c:v>0.34</c:v>
                </c:pt>
                <c:pt idx="1">
                  <c:v>0.18</c:v>
                </c:pt>
                <c:pt idx="2">
                  <c:v>0.32</c:v>
                </c:pt>
                <c:pt idx="3">
                  <c:v>0.16</c:v>
                </c:pt>
              </c:numCache>
            </c:numRef>
          </c:val>
        </c:ser>
        <c:ser>
          <c:idx val="3"/>
          <c:order val="3"/>
          <c:tx>
            <c:strRef>
              <c:f>Sheet2!$E$116</c:f>
              <c:strCache>
                <c:ptCount val="1"/>
                <c:pt idx="0">
                  <c:v>Health &amp; Human Services</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Sheet2!$A$117:$A$120</c:f>
              <c:strCache>
                <c:ptCount val="4"/>
                <c:pt idx="0">
                  <c:v>ELO 4: Integrative and Applied Learning</c:v>
                </c:pt>
                <c:pt idx="1">
                  <c:v>ELO 3: Personal and Social Responsibility </c:v>
                </c:pt>
                <c:pt idx="2">
                  <c:v>ELO 2: Intellectual and Practical Skills </c:v>
                </c:pt>
                <c:pt idx="3">
                  <c:v>ELO 1: Knowledge of Human Cultures and the Physical &amp; Natural World</c:v>
                </c:pt>
              </c:strCache>
            </c:strRef>
          </c:cat>
          <c:val>
            <c:numRef>
              <c:f>Sheet2!$E$117:$E$120</c:f>
              <c:numCache>
                <c:formatCode>0%</c:formatCode>
                <c:ptCount val="4"/>
                <c:pt idx="0">
                  <c:v>0.37</c:v>
                </c:pt>
                <c:pt idx="1">
                  <c:v>0.33</c:v>
                </c:pt>
                <c:pt idx="2">
                  <c:v>0.4</c:v>
                </c:pt>
                <c:pt idx="3">
                  <c:v>0.3</c:v>
                </c:pt>
              </c:numCache>
            </c:numRef>
          </c:val>
        </c:ser>
        <c:dLbls>
          <c:dLblPos val="inEnd"/>
          <c:showLegendKey val="0"/>
          <c:showVal val="1"/>
          <c:showCatName val="0"/>
          <c:showSerName val="0"/>
          <c:showPercent val="0"/>
          <c:showBubbleSize val="0"/>
        </c:dLbls>
        <c:gapWidth val="65"/>
        <c:axId val="461036200"/>
        <c:axId val="461036592"/>
      </c:barChart>
      <c:catAx>
        <c:axId val="4610362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61036592"/>
        <c:crosses val="autoZero"/>
        <c:auto val="1"/>
        <c:lblAlgn val="ctr"/>
        <c:lblOffset val="100"/>
        <c:noMultiLvlLbl val="0"/>
      </c:catAx>
      <c:valAx>
        <c:axId val="46103659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610362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pieChart>
        <c:varyColors val="1"/>
        <c:ser>
          <c:idx val="0"/>
          <c:order val="0"/>
          <c:dLbls>
            <c:dLbl>
              <c:idx val="0"/>
              <c:spPr/>
              <c:txPr>
                <a:bodyPr/>
                <a:lstStyle/>
                <a:p>
                  <a:pPr>
                    <a:defRPr b="1">
                      <a:solidFill>
                        <a:srgbClr val="FFFFFF"/>
                      </a:solidFill>
                    </a:defRPr>
                  </a:pPr>
                  <a:endParaRPr lang="en-US"/>
                </a:p>
              </c:txPr>
              <c:showLegendKey val="0"/>
              <c:showVal val="0"/>
              <c:showCatName val="1"/>
              <c:showSerName val="0"/>
              <c:showPercent val="1"/>
              <c:showBubbleSize val="0"/>
            </c:dLbl>
            <c:dLbl>
              <c:idx val="1"/>
              <c:spPr/>
              <c:txPr>
                <a:bodyPr/>
                <a:lstStyle/>
                <a:p>
                  <a:pPr>
                    <a:defRPr b="1">
                      <a:solidFill>
                        <a:srgbClr val="FFFFFF"/>
                      </a:solidFill>
                    </a:defRPr>
                  </a:pPr>
                  <a:endParaRPr lang="en-US"/>
                </a:p>
              </c:txPr>
              <c:showLegendKey val="0"/>
              <c:showVal val="0"/>
              <c:showCatName val="1"/>
              <c:showSerName val="0"/>
              <c:showPercent val="1"/>
              <c:showBubbleSize val="0"/>
            </c:dLbl>
            <c:dLbl>
              <c:idx val="2"/>
              <c:layout>
                <c:manualLayout>
                  <c:x val="-7.3745625546806595E-2"/>
                  <c:y val="-0.272667488158858"/>
                </c:manualLayout>
              </c:layout>
              <c:spPr/>
              <c:txPr>
                <a:bodyPr/>
                <a:lstStyle/>
                <a:p>
                  <a:pPr>
                    <a:defRPr b="1">
                      <a:solidFill>
                        <a:srgbClr val="FFFFFF"/>
                      </a:solidFill>
                    </a:defRPr>
                  </a:pPr>
                  <a:endParaRPr lang="en-US"/>
                </a:p>
              </c:txPr>
              <c:showLegendKey val="0"/>
              <c:showVal val="0"/>
              <c:showCatName val="1"/>
              <c:showSerName val="0"/>
              <c:showPercent val="1"/>
              <c:showBubbleSize val="0"/>
              <c:extLst>
                <c:ext xmlns:c15="http://schemas.microsoft.com/office/drawing/2012/chart" uri="{CE6537A1-D6FC-4f65-9D91-7224C49458BB}"/>
              </c:extLst>
            </c:dLbl>
            <c:dLbl>
              <c:idx val="3"/>
              <c:spPr/>
              <c:txPr>
                <a:bodyPr/>
                <a:lstStyle/>
                <a:p>
                  <a:pPr>
                    <a:defRPr b="1">
                      <a:solidFill>
                        <a:srgbClr val="FFFFFF"/>
                      </a:solidFill>
                    </a:defRPr>
                  </a:pPr>
                  <a:endParaRPr lang="en-US"/>
                </a:p>
              </c:txPr>
              <c:showLegendKey val="0"/>
              <c:showVal val="0"/>
              <c:showCatName val="1"/>
              <c:showSerName val="0"/>
              <c:showPercent val="1"/>
              <c:showBubbleSize val="0"/>
            </c:dLbl>
            <c:dLbl>
              <c:idx val="4"/>
              <c:spPr/>
              <c:txPr>
                <a:bodyPr/>
                <a:lstStyle/>
                <a:p>
                  <a:pPr>
                    <a:defRPr b="1">
                      <a:solidFill>
                        <a:srgbClr val="FFFFFF"/>
                      </a:solidFill>
                    </a:defRPr>
                  </a:pPr>
                  <a:endParaRPr lang="en-US"/>
                </a:p>
              </c:txPr>
              <c:showLegendKey val="0"/>
              <c:showVal val="0"/>
              <c:showCatName val="1"/>
              <c:showSerName val="0"/>
              <c:showPercent val="1"/>
              <c:showBubbleSize val="0"/>
            </c:dLbl>
            <c:dLbl>
              <c:idx val="5"/>
              <c:tx>
                <c:rich>
                  <a:bodyPr/>
                  <a:lstStyle/>
                  <a:p>
                    <a:r>
                      <a:rPr lang="en-US" b="1">
                        <a:solidFill>
                          <a:schemeClr val="bg1"/>
                        </a:solidFill>
                      </a:rPr>
                      <a:t>Evaluation 
9%</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Sheet2!$A$21:$A$26</c:f>
              <c:strCache>
                <c:ptCount val="6"/>
                <c:pt idx="0">
                  <c:v>Knowledge</c:v>
                </c:pt>
                <c:pt idx="1">
                  <c:v>Comprehension </c:v>
                </c:pt>
                <c:pt idx="2">
                  <c:v>Application</c:v>
                </c:pt>
                <c:pt idx="3">
                  <c:v>Analysis </c:v>
                </c:pt>
                <c:pt idx="4">
                  <c:v>Synthesis </c:v>
                </c:pt>
                <c:pt idx="5">
                  <c:v>Evaluation </c:v>
                </c:pt>
              </c:strCache>
            </c:strRef>
          </c:cat>
          <c:val>
            <c:numRef>
              <c:f>Sheet2!$B$21:$B$26</c:f>
              <c:numCache>
                <c:formatCode>General</c:formatCode>
                <c:ptCount val="6"/>
                <c:pt idx="0">
                  <c:v>42</c:v>
                </c:pt>
                <c:pt idx="1">
                  <c:v>40</c:v>
                </c:pt>
                <c:pt idx="2">
                  <c:v>158</c:v>
                </c:pt>
                <c:pt idx="3">
                  <c:v>29</c:v>
                </c:pt>
                <c:pt idx="4">
                  <c:v>49</c:v>
                </c:pt>
                <c:pt idx="5">
                  <c:v>31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2"/>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3"/>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4"/>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dPt>
          <c:dPt>
            <c:idx val="5"/>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dPt>
          <c:dPt>
            <c:idx val="6"/>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dPt>
          <c:dPt>
            <c:idx val="7"/>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dPt>
          <c:dPt>
            <c:idx val="8"/>
            <c:bubble3D val="0"/>
            <c:spPr>
              <a:gradFill>
                <a:gsLst>
                  <a:gs pos="100000">
                    <a:schemeClr val="accent5">
                      <a:lumMod val="80000"/>
                      <a:lumOff val="20000"/>
                      <a:lumMod val="60000"/>
                      <a:lumOff val="40000"/>
                    </a:schemeClr>
                  </a:gs>
                  <a:gs pos="0">
                    <a:schemeClr val="accent5">
                      <a:lumMod val="80000"/>
                      <a:lumOff val="20000"/>
                    </a:schemeClr>
                  </a:gs>
                </a:gsLst>
                <a:lin ang="5400000" scaled="0"/>
              </a:gradFill>
              <a:ln w="19050">
                <a:solidFill>
                  <a:schemeClr val="lt1"/>
                </a:solidFill>
              </a:ln>
              <a:effectLst/>
            </c:spPr>
          </c:dPt>
          <c:dLbls>
            <c:dLbl>
              <c:idx val="0"/>
              <c:layout>
                <c:manualLayout>
                  <c:x val="-0.13421127064999239"/>
                  <c:y val="0.16189779336856316"/>
                </c:manualLayout>
              </c:layout>
              <c:tx>
                <c:rich>
                  <a:bodyPr/>
                  <a:lstStyle/>
                  <a:p>
                    <a:fld id="{9AE5C50D-9583-434D-BDB3-18AE2AD2FBE7}" type="CATEGORYNAME">
                      <a:rPr lang="en-US"/>
                      <a:pPr/>
                      <a:t>[CATEGORY NAME]</a:t>
                    </a:fld>
                    <a:endParaRPr lang="en-US" baseline="0"/>
                  </a:p>
                  <a:p>
                    <a:r>
                      <a:rPr lang="en-US" baseline="0"/>
                      <a:t> </a:t>
                    </a:r>
                    <a:fld id="{0963A321-9EAE-44AE-9A27-CB923BF1F1A0}"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1"/>
              <c:layout>
                <c:manualLayout>
                  <c:x val="-0.11539663424424899"/>
                  <c:y val="-0.16377470980563377"/>
                </c:manualLayout>
              </c:layout>
              <c:tx>
                <c:rich>
                  <a:bodyPr/>
                  <a:lstStyle/>
                  <a:p>
                    <a:fld id="{915FE463-D087-4D8D-A5BC-06297561BBC9}" type="CATEGORYNAME">
                      <a:rPr lang="en-US"/>
                      <a:pPr/>
                      <a:t>[CATEGORY NAME]</a:t>
                    </a:fld>
                    <a:endParaRPr lang="en-US" baseline="0"/>
                  </a:p>
                  <a:p>
                    <a:r>
                      <a:rPr lang="en-US" baseline="0"/>
                      <a:t> </a:t>
                    </a:r>
                    <a:fld id="{4B541141-5EBD-4FE0-A661-B02ADE3A38F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2"/>
              <c:layout>
                <c:manualLayout>
                  <c:x val="1.7530091091554734E-2"/>
                  <c:y val="-0.17643957985175382"/>
                </c:manualLayout>
              </c:layout>
              <c:tx>
                <c:rich>
                  <a:bodyPr/>
                  <a:lstStyle/>
                  <a:p>
                    <a:fld id="{709E559C-D5C8-4B5C-9C40-CDA39BE29293}" type="CATEGORYNAME">
                      <a:rPr lang="en-US"/>
                      <a:pPr/>
                      <a:t>[CATEGORY NAME]</a:t>
                    </a:fld>
                    <a:endParaRPr lang="en-US" baseline="0"/>
                  </a:p>
                  <a:p>
                    <a:fld id="{EFE978E3-DDA7-42C1-B55C-F3FD1C007C8A}"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3"/>
              <c:layout>
                <c:manualLayout>
                  <c:x val="0.122124193299367"/>
                  <c:y val="-0.16444718788736504"/>
                </c:manualLayout>
              </c:layout>
              <c:tx>
                <c:rich>
                  <a:bodyPr/>
                  <a:lstStyle/>
                  <a:p>
                    <a:r>
                      <a:rPr lang="en-US" sz="800"/>
                      <a:t>*</a:t>
                    </a:r>
                    <a:fld id="{4BD4A4F3-4245-45B9-80B4-D3C90BA184C0}" type="CATEGORYNAME">
                      <a:rPr lang="en-US"/>
                      <a:pPr/>
                      <a:t>[CATEGORY NAME]</a:t>
                    </a:fld>
                    <a:endParaRPr lang="en-US" baseline="0"/>
                  </a:p>
                  <a:p>
                    <a:fld id="{96216553-AB2B-42F8-932F-19AECBBC628B}"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4"/>
              <c:layout>
                <c:manualLayout>
                  <c:x val="0.1591686274509804"/>
                  <c:y val="-2.6823042913134997E-2"/>
                </c:manualLayout>
              </c:layout>
              <c:tx>
                <c:rich>
                  <a:bodyPr/>
                  <a:lstStyle/>
                  <a:p>
                    <a:fld id="{4E04FA2C-4CC6-4987-B656-056D4B5EA1F7}" type="CATEGORYNAME">
                      <a:rPr lang="en-US"/>
                      <a:pPr/>
                      <a:t>[CATEGORY NAME]</a:t>
                    </a:fld>
                    <a:endParaRPr lang="en-US" baseline="0"/>
                  </a:p>
                  <a:p>
                    <a:fld id="{A4BE5974-76B3-46A3-ADCC-FC9F423B4D3B}"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5"/>
              <c:layout>
                <c:manualLayout>
                  <c:x val="0.15426425814420253"/>
                  <c:y val="8.123033377997918E-2"/>
                </c:manualLayout>
              </c:layout>
              <c:tx>
                <c:rich>
                  <a:bodyPr/>
                  <a:lstStyle/>
                  <a:p>
                    <a:fld id="{DBAC20A9-5CB0-438E-8079-089D9C6719E2}" type="CATEGORYNAME">
                      <a:rPr lang="en-US"/>
                      <a:pPr/>
                      <a:t>[CATEGORY NAME]</a:t>
                    </a:fld>
                    <a:endParaRPr lang="en-US" baseline="0"/>
                  </a:p>
                  <a:p>
                    <a:r>
                      <a:rPr lang="en-US" baseline="0"/>
                      <a:t> </a:t>
                    </a:r>
                    <a:fld id="{0D1B306D-D12E-48D8-AB57-FE933410B59F}"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6"/>
              <c:layout>
                <c:manualLayout>
                  <c:x val="9.239238626543142E-2"/>
                  <c:y val="0.15154562609413957"/>
                </c:manualLayout>
              </c:layout>
              <c:tx>
                <c:rich>
                  <a:bodyPr/>
                  <a:lstStyle/>
                  <a:p>
                    <a:fld id="{75E05977-17F8-4BC3-8DD7-81F93F0D011B}" type="CATEGORYNAME">
                      <a:rPr lang="en-US"/>
                      <a:pPr/>
                      <a:t>[CATEGORY NAME]</a:t>
                    </a:fld>
                    <a:endParaRPr lang="en-US" baseline="0"/>
                  </a:p>
                  <a:p>
                    <a:r>
                      <a:rPr lang="en-US" baseline="0"/>
                      <a:t> </a:t>
                    </a:r>
                    <a:fld id="{7EF461E5-2566-4BDA-9FE8-ED82863B4A4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7"/>
              <c:layout>
                <c:manualLayout>
                  <c:x val="5.6694519067469508E-2"/>
                  <c:y val="0.13841566171341393"/>
                </c:manualLayout>
              </c:layout>
              <c:tx>
                <c:rich>
                  <a:bodyPr/>
                  <a:lstStyle/>
                  <a:p>
                    <a:fld id="{AB844448-9A77-4088-88B7-0A4E2F396E51}" type="CATEGORYNAME">
                      <a:rPr lang="en-US"/>
                      <a:pPr/>
                      <a:t>[CATEGORY NAME]</a:t>
                    </a:fld>
                    <a:endParaRPr lang="en-US" baseline="0"/>
                  </a:p>
                  <a:p>
                    <a:fld id="{184FF1B5-ACA8-4B23-A764-24CFF0173E50}"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8"/>
              <c:layout>
                <c:manualLayout>
                  <c:x val="2.9256274947863609E-2"/>
                  <c:y val="5.6755056724742896E-2"/>
                </c:manualLayout>
              </c:layout>
              <c:tx>
                <c:rich>
                  <a:bodyPr/>
                  <a:lstStyle/>
                  <a:p>
                    <a:fld id="{9CD4773B-732E-4726-995C-8998170C92D1}" type="CATEGORYNAME">
                      <a:rPr lang="en-US"/>
                      <a:pPr/>
                      <a:t>[CATEGORY NAME]</a:t>
                    </a:fld>
                    <a:endParaRPr lang="en-US" baseline="0"/>
                  </a:p>
                  <a:p>
                    <a:r>
                      <a:rPr lang="en-US" baseline="0"/>
                      <a:t> </a:t>
                    </a:r>
                    <a:fld id="{CE30F29E-CAC2-4CC0-90A6-4B3DD8078C41}"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US"/>
              </a:p>
            </c:txPr>
            <c:dLblPos val="inEnd"/>
            <c:showLegendKey val="0"/>
            <c:showVal val="1"/>
            <c:showCatName val="1"/>
            <c:showSerName val="0"/>
            <c:showPercent val="0"/>
            <c:showBubbleSize val="0"/>
            <c:showLeaderLines val="0"/>
            <c:extLst>
              <c:ext xmlns:c15="http://schemas.microsoft.com/office/drawing/2012/chart" uri="{CE6537A1-D6FC-4f65-9D91-7224C49458BB}"/>
            </c:extLst>
          </c:dLbls>
          <c:cat>
            <c:strRef>
              <c:f>Sheet2!$A$83:$A$91</c:f>
              <c:strCache>
                <c:ptCount val="9"/>
                <c:pt idx="0">
                  <c:v>Project </c:v>
                </c:pt>
                <c:pt idx="1">
                  <c:v>Exam</c:v>
                </c:pt>
                <c:pt idx="2">
                  <c:v>Capstone </c:v>
                </c:pt>
                <c:pt idx="3">
                  <c:v>Other </c:v>
                </c:pt>
                <c:pt idx="4">
                  <c:v>Portfolio</c:v>
                </c:pt>
                <c:pt idx="5">
                  <c:v>Demonstration </c:v>
                </c:pt>
                <c:pt idx="6">
                  <c:v>Critique </c:v>
                </c:pt>
                <c:pt idx="7">
                  <c:v>Lab </c:v>
                </c:pt>
                <c:pt idx="8">
                  <c:v>Performance </c:v>
                </c:pt>
              </c:strCache>
            </c:strRef>
          </c:cat>
          <c:val>
            <c:numRef>
              <c:f>Sheet2!$B$83:$B$91</c:f>
              <c:numCache>
                <c:formatCode>0%</c:formatCode>
                <c:ptCount val="9"/>
                <c:pt idx="0">
                  <c:v>0.26</c:v>
                </c:pt>
                <c:pt idx="1">
                  <c:v>0.19</c:v>
                </c:pt>
                <c:pt idx="2">
                  <c:v>0.12</c:v>
                </c:pt>
                <c:pt idx="3">
                  <c:v>0.12</c:v>
                </c:pt>
                <c:pt idx="4">
                  <c:v>0.08</c:v>
                </c:pt>
                <c:pt idx="5">
                  <c:v>0.08</c:v>
                </c:pt>
                <c:pt idx="6">
                  <c:v>0.06</c:v>
                </c:pt>
                <c:pt idx="7">
                  <c:v>0.05</c:v>
                </c:pt>
                <c:pt idx="8">
                  <c:v>0.04</c:v>
                </c:pt>
              </c:numCache>
            </c:numRef>
          </c:val>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2"/>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3"/>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4"/>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dPt>
          <c:dPt>
            <c:idx val="5"/>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dPt>
          <c:dPt>
            <c:idx val="6"/>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dPt>
          <c:dPt>
            <c:idx val="7"/>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dPt>
          <c:dPt>
            <c:idx val="8"/>
            <c:bubble3D val="0"/>
            <c:spPr>
              <a:gradFill>
                <a:gsLst>
                  <a:gs pos="100000">
                    <a:schemeClr val="accent5">
                      <a:lumMod val="80000"/>
                      <a:lumOff val="20000"/>
                      <a:lumMod val="60000"/>
                      <a:lumOff val="40000"/>
                    </a:schemeClr>
                  </a:gs>
                  <a:gs pos="0">
                    <a:schemeClr val="accent5">
                      <a:lumMod val="80000"/>
                      <a:lumOff val="20000"/>
                    </a:schemeClr>
                  </a:gs>
                </a:gsLst>
                <a:lin ang="5400000" scaled="0"/>
              </a:gradFill>
              <a:ln w="19050">
                <a:solidFill>
                  <a:schemeClr val="lt1"/>
                </a:solidFill>
              </a:ln>
              <a:effectLst/>
            </c:spPr>
          </c:dPt>
          <c:dLbls>
            <c:dLbl>
              <c:idx val="0"/>
              <c:layout>
                <c:manualLayout>
                  <c:x val="-0.13421127064999239"/>
                  <c:y val="0.16189779336856316"/>
                </c:manualLayout>
              </c:layout>
              <c:tx>
                <c:rich>
                  <a:bodyPr/>
                  <a:lstStyle/>
                  <a:p>
                    <a:fld id="{9AE5C50D-9583-434D-BDB3-18AE2AD2FBE7}" type="CATEGORYNAME">
                      <a:rPr lang="en-US"/>
                      <a:pPr/>
                      <a:t>[CATEGORY NAME]</a:t>
                    </a:fld>
                    <a:endParaRPr lang="en-US" baseline="0"/>
                  </a:p>
                  <a:p>
                    <a:r>
                      <a:rPr lang="en-US" baseline="0"/>
                      <a:t> </a:t>
                    </a:r>
                    <a:fld id="{0963A321-9EAE-44AE-9A27-CB923BF1F1A0}"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0.11539663424424899"/>
                  <c:y val="-0.16377470980563377"/>
                </c:manualLayout>
              </c:layout>
              <c:tx>
                <c:rich>
                  <a:bodyPr/>
                  <a:lstStyle/>
                  <a:p>
                    <a:fld id="{915FE463-D087-4D8D-A5BC-06297561BBC9}" type="CATEGORYNAME">
                      <a:rPr lang="en-US"/>
                      <a:pPr/>
                      <a:t>[CATEGORY NAME]</a:t>
                    </a:fld>
                    <a:endParaRPr lang="en-US" baseline="0"/>
                  </a:p>
                  <a:p>
                    <a:r>
                      <a:rPr lang="en-US" baseline="0"/>
                      <a:t> </a:t>
                    </a:r>
                    <a:fld id="{4B541141-5EBD-4FE0-A661-B02ADE3A38F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2"/>
              <c:layout>
                <c:manualLayout>
                  <c:x val="1.7530091091554734E-2"/>
                  <c:y val="-0.17643957985175382"/>
                </c:manualLayout>
              </c:layout>
              <c:tx>
                <c:rich>
                  <a:bodyPr/>
                  <a:lstStyle/>
                  <a:p>
                    <a:fld id="{709E559C-D5C8-4B5C-9C40-CDA39BE29293}" type="CATEGORYNAME">
                      <a:rPr lang="en-US"/>
                      <a:pPr/>
                      <a:t>[CATEGORY NAME]</a:t>
                    </a:fld>
                    <a:endParaRPr lang="en-US" baseline="0"/>
                  </a:p>
                  <a:p>
                    <a:fld id="{EFE978E3-DDA7-42C1-B55C-F3FD1C007C8A}"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3"/>
              <c:layout>
                <c:manualLayout>
                  <c:x val="0.122124193299367"/>
                  <c:y val="-0.16444718788736504"/>
                </c:manualLayout>
              </c:layout>
              <c:tx>
                <c:rich>
                  <a:bodyPr/>
                  <a:lstStyle/>
                  <a:p>
                    <a:r>
                      <a:rPr lang="en-US" sz="800"/>
                      <a:t>*</a:t>
                    </a:r>
                    <a:fld id="{4BD4A4F3-4245-45B9-80B4-D3C90BA184C0}" type="CATEGORYNAME">
                      <a:rPr lang="en-US"/>
                      <a:pPr/>
                      <a:t>[CATEGORY NAME]</a:t>
                    </a:fld>
                    <a:endParaRPr lang="en-US" baseline="0"/>
                  </a:p>
                  <a:p>
                    <a:fld id="{96216553-AB2B-42F8-932F-19AECBBC628B}"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4"/>
              <c:layout>
                <c:manualLayout>
                  <c:x val="0.1591686274509804"/>
                  <c:y val="-2.6823042913134997E-2"/>
                </c:manualLayout>
              </c:layout>
              <c:tx>
                <c:rich>
                  <a:bodyPr/>
                  <a:lstStyle/>
                  <a:p>
                    <a:fld id="{4E04FA2C-4CC6-4987-B656-056D4B5EA1F7}" type="CATEGORYNAME">
                      <a:rPr lang="en-US"/>
                      <a:pPr/>
                      <a:t>[CATEGORY NAME]</a:t>
                    </a:fld>
                    <a:endParaRPr lang="en-US" baseline="0"/>
                  </a:p>
                  <a:p>
                    <a:fld id="{A4BE5974-76B3-46A3-ADCC-FC9F423B4D3B}"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5"/>
              <c:layout>
                <c:manualLayout>
                  <c:x val="0.15426425814420253"/>
                  <c:y val="8.123033377997918E-2"/>
                </c:manualLayout>
              </c:layout>
              <c:tx>
                <c:rich>
                  <a:bodyPr/>
                  <a:lstStyle/>
                  <a:p>
                    <a:fld id="{DBAC20A9-5CB0-438E-8079-089D9C6719E2}" type="CATEGORYNAME">
                      <a:rPr lang="en-US"/>
                      <a:pPr/>
                      <a:t>[CATEGORY NAME]</a:t>
                    </a:fld>
                    <a:endParaRPr lang="en-US" baseline="0"/>
                  </a:p>
                  <a:p>
                    <a:r>
                      <a:rPr lang="en-US" baseline="0"/>
                      <a:t> </a:t>
                    </a:r>
                    <a:fld id="{0D1B306D-D12E-48D8-AB57-FE933410B59F}"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6"/>
              <c:layout>
                <c:manualLayout>
                  <c:x val="9.239238626543142E-2"/>
                  <c:y val="0.15154562609413957"/>
                </c:manualLayout>
              </c:layout>
              <c:tx>
                <c:rich>
                  <a:bodyPr/>
                  <a:lstStyle/>
                  <a:p>
                    <a:fld id="{75E05977-17F8-4BC3-8DD7-81F93F0D011B}" type="CATEGORYNAME">
                      <a:rPr lang="en-US"/>
                      <a:pPr/>
                      <a:t>[CATEGORY NAME]</a:t>
                    </a:fld>
                    <a:endParaRPr lang="en-US" baseline="0"/>
                  </a:p>
                  <a:p>
                    <a:r>
                      <a:rPr lang="en-US" baseline="0"/>
                      <a:t> </a:t>
                    </a:r>
                    <a:fld id="{7EF461E5-2566-4BDA-9FE8-ED82863B4A4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7"/>
              <c:layout>
                <c:manualLayout>
                  <c:x val="5.6694519067469508E-2"/>
                  <c:y val="0.13841566171341393"/>
                </c:manualLayout>
              </c:layout>
              <c:tx>
                <c:rich>
                  <a:bodyPr/>
                  <a:lstStyle/>
                  <a:p>
                    <a:fld id="{AB844448-9A77-4088-88B7-0A4E2F396E51}" type="CATEGORYNAME">
                      <a:rPr lang="en-US"/>
                      <a:pPr/>
                      <a:t>[CATEGORY NAME]</a:t>
                    </a:fld>
                    <a:endParaRPr lang="en-US" baseline="0"/>
                  </a:p>
                  <a:p>
                    <a:fld id="{184FF1B5-ACA8-4B23-A764-24CFF0173E50}"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8"/>
              <c:layout>
                <c:manualLayout>
                  <c:x val="2.9256274947863609E-2"/>
                  <c:y val="5.6755056724742896E-2"/>
                </c:manualLayout>
              </c:layout>
              <c:tx>
                <c:rich>
                  <a:bodyPr/>
                  <a:lstStyle/>
                  <a:p>
                    <a:fld id="{9CD4773B-732E-4726-995C-8998170C92D1}" type="CATEGORYNAME">
                      <a:rPr lang="en-US"/>
                      <a:pPr/>
                      <a:t>[CATEGORY NAME]</a:t>
                    </a:fld>
                    <a:endParaRPr lang="en-US" baseline="0"/>
                  </a:p>
                  <a:p>
                    <a:r>
                      <a:rPr lang="en-US" baseline="0"/>
                      <a:t> </a:t>
                    </a:r>
                    <a:fld id="{CE30F29E-CAC2-4CC0-90A6-4B3DD8078C41}"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US"/>
              </a:p>
            </c:txPr>
            <c:dLblPos val="inEnd"/>
            <c:showLegendKey val="0"/>
            <c:showVal val="1"/>
            <c:showCatName val="1"/>
            <c:showSerName val="0"/>
            <c:showPercent val="0"/>
            <c:showBubbleSize val="0"/>
            <c:showLeaderLines val="0"/>
            <c:extLst>
              <c:ext xmlns:c15="http://schemas.microsoft.com/office/drawing/2012/chart" uri="{CE6537A1-D6FC-4f65-9D91-7224C49458BB}"/>
            </c:extLst>
          </c:dLbls>
          <c:cat>
            <c:strRef>
              <c:f>Sheet2!$A$83:$A$91</c:f>
              <c:strCache>
                <c:ptCount val="9"/>
                <c:pt idx="0">
                  <c:v>Project </c:v>
                </c:pt>
                <c:pt idx="1">
                  <c:v>Exam</c:v>
                </c:pt>
                <c:pt idx="2">
                  <c:v>Capstone </c:v>
                </c:pt>
                <c:pt idx="3">
                  <c:v>Other </c:v>
                </c:pt>
                <c:pt idx="4">
                  <c:v>Portfolio</c:v>
                </c:pt>
                <c:pt idx="5">
                  <c:v>Demonstration </c:v>
                </c:pt>
                <c:pt idx="6">
                  <c:v>Critique </c:v>
                </c:pt>
                <c:pt idx="7">
                  <c:v>Lab </c:v>
                </c:pt>
                <c:pt idx="8">
                  <c:v>Performance </c:v>
                </c:pt>
              </c:strCache>
            </c:strRef>
          </c:cat>
          <c:val>
            <c:numRef>
              <c:f>Sheet2!$B$83:$B$91</c:f>
              <c:numCache>
                <c:formatCode>0%</c:formatCode>
                <c:ptCount val="9"/>
                <c:pt idx="0">
                  <c:v>0.26</c:v>
                </c:pt>
                <c:pt idx="1">
                  <c:v>0.19</c:v>
                </c:pt>
                <c:pt idx="2">
                  <c:v>0.12</c:v>
                </c:pt>
                <c:pt idx="3">
                  <c:v>0.12</c:v>
                </c:pt>
                <c:pt idx="4">
                  <c:v>0.08</c:v>
                </c:pt>
                <c:pt idx="5">
                  <c:v>0.08</c:v>
                </c:pt>
                <c:pt idx="6">
                  <c:v>0.06</c:v>
                </c:pt>
                <c:pt idx="7">
                  <c:v>0.05</c:v>
                </c:pt>
                <c:pt idx="8">
                  <c:v>0.04</c:v>
                </c:pt>
              </c:numCache>
            </c:numRef>
          </c:val>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Student Satisfaction with Assessment Practices</a:t>
            </a:r>
          </a:p>
        </c:rich>
      </c:tx>
      <c:layout>
        <c:manualLayout>
          <c:xMode val="edge"/>
          <c:yMode val="edge"/>
          <c:x val="0.22164438390981331"/>
          <c:y val="2.722478593864291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LCC All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Feedback </c:v>
                </c:pt>
                <c:pt idx="1">
                  <c:v>Assessment Methods </c:v>
                </c:pt>
                <c:pt idx="2">
                  <c:v>Application of Learning </c:v>
                </c:pt>
              </c:strCache>
            </c:strRef>
          </c:cat>
          <c:val>
            <c:numRef>
              <c:f>Sheet1!$B$2:$B$5</c:f>
              <c:numCache>
                <c:formatCode>General</c:formatCode>
                <c:ptCount val="3"/>
                <c:pt idx="0">
                  <c:v>4.2</c:v>
                </c:pt>
                <c:pt idx="1">
                  <c:v>4.17</c:v>
                </c:pt>
                <c:pt idx="2">
                  <c:v>4.03</c:v>
                </c:pt>
              </c:numCache>
            </c:numRef>
          </c:val>
        </c:ser>
        <c:ser>
          <c:idx val="1"/>
          <c:order val="1"/>
          <c:tx>
            <c:strRef>
              <c:f>Sheet1!$C$1</c:f>
              <c:strCache>
                <c:ptCount val="1"/>
                <c:pt idx="0">
                  <c:v>Arts &amp; Sciences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Feedback </c:v>
                </c:pt>
                <c:pt idx="1">
                  <c:v>Assessment Methods </c:v>
                </c:pt>
                <c:pt idx="2">
                  <c:v>Application of Learning </c:v>
                </c:pt>
              </c:strCache>
            </c:strRef>
          </c:cat>
          <c:val>
            <c:numRef>
              <c:f>Sheet1!$C$2:$C$5</c:f>
              <c:numCache>
                <c:formatCode>General</c:formatCode>
                <c:ptCount val="3"/>
                <c:pt idx="0">
                  <c:v>4.1500000000000004</c:v>
                </c:pt>
                <c:pt idx="1">
                  <c:v>4.13</c:v>
                </c:pt>
                <c:pt idx="2">
                  <c:v>3.92</c:v>
                </c:pt>
              </c:numCache>
            </c:numRef>
          </c:val>
        </c:ser>
        <c:ser>
          <c:idx val="2"/>
          <c:order val="2"/>
          <c:tx>
            <c:strRef>
              <c:f>Sheet1!$D$1</c:f>
              <c:strCache>
                <c:ptCount val="1"/>
                <c:pt idx="0">
                  <c:v>Technical Careers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Feedback </c:v>
                </c:pt>
                <c:pt idx="1">
                  <c:v>Assessment Methods </c:v>
                </c:pt>
                <c:pt idx="2">
                  <c:v>Application of Learning </c:v>
                </c:pt>
              </c:strCache>
            </c:strRef>
          </c:cat>
          <c:val>
            <c:numRef>
              <c:f>Sheet1!$D$2:$D$5</c:f>
              <c:numCache>
                <c:formatCode>General</c:formatCode>
                <c:ptCount val="3"/>
                <c:pt idx="0">
                  <c:v>4.26</c:v>
                </c:pt>
                <c:pt idx="1">
                  <c:v>4.25</c:v>
                </c:pt>
                <c:pt idx="2">
                  <c:v>4.24</c:v>
                </c:pt>
              </c:numCache>
            </c:numRef>
          </c:val>
        </c:ser>
        <c:ser>
          <c:idx val="3"/>
          <c:order val="3"/>
          <c:tx>
            <c:strRef>
              <c:f>Sheet1!$E$1</c:f>
              <c:strCache>
                <c:ptCount val="1"/>
                <c:pt idx="0">
                  <c:v>Health &amp; Human Services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Feedback </c:v>
                </c:pt>
                <c:pt idx="1">
                  <c:v>Assessment Methods </c:v>
                </c:pt>
                <c:pt idx="2">
                  <c:v>Application of Learning </c:v>
                </c:pt>
              </c:strCache>
            </c:strRef>
          </c:cat>
          <c:val>
            <c:numRef>
              <c:f>Sheet1!$E$2:$E$5</c:f>
              <c:numCache>
                <c:formatCode>General</c:formatCode>
                <c:ptCount val="3"/>
                <c:pt idx="0">
                  <c:v>4.38</c:v>
                </c:pt>
                <c:pt idx="1">
                  <c:v>4.32</c:v>
                </c:pt>
                <c:pt idx="2">
                  <c:v>4.3600000000000003</c:v>
                </c:pt>
              </c:numCache>
            </c:numRef>
          </c:val>
        </c:ser>
        <c:dLbls>
          <c:showLegendKey val="0"/>
          <c:showVal val="0"/>
          <c:showCatName val="0"/>
          <c:showSerName val="0"/>
          <c:showPercent val="0"/>
          <c:showBubbleSize val="0"/>
        </c:dLbls>
        <c:gapWidth val="219"/>
        <c:overlap val="-27"/>
        <c:axId val="461039728"/>
        <c:axId val="461039336"/>
      </c:barChart>
      <c:catAx>
        <c:axId val="46103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039336"/>
        <c:crosses val="autoZero"/>
        <c:auto val="1"/>
        <c:lblAlgn val="ctr"/>
        <c:lblOffset val="100"/>
        <c:noMultiLvlLbl val="0"/>
      </c:catAx>
      <c:valAx>
        <c:axId val="461039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03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1BBD16ED7FB741B67CF441A0249DA1"/>
        <w:category>
          <w:name w:val="General"/>
          <w:gallery w:val="placeholder"/>
        </w:category>
        <w:types>
          <w:type w:val="bbPlcHdr"/>
        </w:types>
        <w:behaviors>
          <w:behavior w:val="content"/>
        </w:behaviors>
        <w:guid w:val="{CF1A565D-C514-5444-992A-D943BE0E0EE9}"/>
      </w:docPartPr>
      <w:docPartBody>
        <w:p w:rsidR="00537205" w:rsidRDefault="00537205">
          <w:pPr>
            <w:pStyle w:val="EF1BBD16ED7FB741B67CF441A0249DA1"/>
          </w:pPr>
          <w:r w:rsidRPr="00BA009E">
            <w:t>Lorem Ipsum Dolor</w:t>
          </w:r>
        </w:p>
      </w:docPartBody>
    </w:docPart>
    <w:docPart>
      <w:docPartPr>
        <w:name w:val="6B874FD3073091449530E03CCA9BF765"/>
        <w:category>
          <w:name w:val="General"/>
          <w:gallery w:val="placeholder"/>
        </w:category>
        <w:types>
          <w:type w:val="bbPlcHdr"/>
        </w:types>
        <w:behaviors>
          <w:behavior w:val="content"/>
        </w:behaviors>
        <w:guid w:val="{D39F45BD-65C7-EF4B-BF83-7CBD94E4685F}"/>
      </w:docPartPr>
      <w:docPartBody>
        <w:p w:rsidR="00537205" w:rsidRDefault="00537205">
          <w:pPr>
            <w:pStyle w:val="6B874FD3073091449530E03CCA9BF765"/>
          </w:pPr>
          <w:r w:rsidRPr="00BA009E">
            <w:t>Lorem ipsum dolor sit amet, consectetur adipiscing elit.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7004B24"/>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C958C700"/>
    <w:lvl w:ilvl="0">
      <w:start w:val="1"/>
      <w:numFmt w:val="bullet"/>
      <w:pStyle w:val="ListBullet"/>
      <w:lvlText w:val="n"/>
      <w:lvlJc w:val="left"/>
      <w:pPr>
        <w:tabs>
          <w:tab w:val="num" w:pos="360"/>
        </w:tabs>
        <w:ind w:left="360" w:hanging="360"/>
      </w:pPr>
      <w:rPr>
        <w:rFonts w:ascii="Wingdings" w:hAnsi="Wingdings" w:hint="default"/>
        <w:color w:val="ED7D31" w:themeColor="accent2"/>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205"/>
    <w:rsid w:val="00043337"/>
    <w:rsid w:val="000C10C0"/>
    <w:rsid w:val="000F69E5"/>
    <w:rsid w:val="002806FD"/>
    <w:rsid w:val="00385916"/>
    <w:rsid w:val="003B506C"/>
    <w:rsid w:val="00501B90"/>
    <w:rsid w:val="00537205"/>
    <w:rsid w:val="006A7673"/>
    <w:rsid w:val="007D38B9"/>
    <w:rsid w:val="00820D6C"/>
    <w:rsid w:val="00847970"/>
    <w:rsid w:val="008C140E"/>
    <w:rsid w:val="00A01EA3"/>
    <w:rsid w:val="00BE66BD"/>
    <w:rsid w:val="00DB5845"/>
    <w:rsid w:val="00F22A7E"/>
    <w:rsid w:val="00F6107B"/>
    <w:rsid w:val="00FA1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en-US"/>
    </w:rPr>
  </w:style>
  <w:style w:type="paragraph" w:styleId="Heading3">
    <w:name w:val="heading 3"/>
    <w:basedOn w:val="Normal"/>
    <w:next w:val="Normal"/>
    <w:link w:val="Heading3Char"/>
    <w:uiPriority w:val="1"/>
    <w:qFormat/>
    <w:pPr>
      <w:keepNext/>
      <w:keepLines/>
      <w:spacing w:before="280" w:line="276" w:lineRule="auto"/>
      <w:outlineLvl w:val="2"/>
    </w:pPr>
    <w:rPr>
      <w:rFonts w:asciiTheme="majorHAnsi" w:eastAsiaTheme="majorEastAsia" w:hAnsiTheme="majorHAnsi" w:cstheme="majorBidi"/>
      <w:bCs/>
      <w:color w:val="ED7D31" w:themeColor="accen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1BBD16ED7FB741B67CF441A0249DA1">
    <w:name w:val="EF1BBD16ED7FB741B67CF441A0249DA1"/>
  </w:style>
  <w:style w:type="paragraph" w:customStyle="1" w:styleId="6B874FD3073091449530E03CCA9BF765">
    <w:name w:val="6B874FD3073091449530E03CCA9BF765"/>
  </w:style>
  <w:style w:type="paragraph" w:customStyle="1" w:styleId="426B15298FE3EE4BB6D7531AFF07B61A">
    <w:name w:val="426B15298FE3EE4BB6D7531AFF07B61A"/>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000000" w:themeColor="text1"/>
      <w:sz w:val="28"/>
      <w:szCs w:val="26"/>
      <w:lang w:eastAsia="en-US"/>
    </w:rPr>
  </w:style>
  <w:style w:type="paragraph" w:customStyle="1" w:styleId="81CC699598DCD94DA4C01ABC52346FFC">
    <w:name w:val="81CC699598DCD94DA4C01ABC52346FFC"/>
  </w:style>
  <w:style w:type="character" w:customStyle="1" w:styleId="Heading3Char">
    <w:name w:val="Heading 3 Char"/>
    <w:basedOn w:val="DefaultParagraphFont"/>
    <w:link w:val="Heading3"/>
    <w:uiPriority w:val="1"/>
    <w:rPr>
      <w:rFonts w:asciiTheme="majorHAnsi" w:eastAsiaTheme="majorEastAsia" w:hAnsiTheme="majorHAnsi" w:cstheme="majorBidi"/>
      <w:bCs/>
      <w:color w:val="ED7D31" w:themeColor="accent2"/>
      <w:lang w:eastAsia="en-US"/>
    </w:rPr>
  </w:style>
  <w:style w:type="paragraph" w:styleId="ListBullet">
    <w:name w:val="List Bullet"/>
    <w:basedOn w:val="Normal"/>
    <w:uiPriority w:val="1"/>
    <w:qFormat/>
    <w:pPr>
      <w:numPr>
        <w:numId w:val="1"/>
      </w:numPr>
      <w:spacing w:after="240" w:line="276" w:lineRule="auto"/>
    </w:pPr>
    <w:rPr>
      <w:lang w:eastAsia="en-US"/>
    </w:rPr>
  </w:style>
  <w:style w:type="paragraph" w:styleId="ListNumber">
    <w:name w:val="List Number"/>
    <w:basedOn w:val="Normal"/>
    <w:uiPriority w:val="1"/>
    <w:qFormat/>
    <w:pPr>
      <w:numPr>
        <w:numId w:val="2"/>
      </w:numPr>
      <w:spacing w:after="240" w:line="276" w:lineRule="auto"/>
    </w:pPr>
    <w:rPr>
      <w:lang w:eastAsia="en-US"/>
    </w:rPr>
  </w:style>
  <w:style w:type="paragraph" w:customStyle="1" w:styleId="F4C2EC4F9711EF479A6068D43D4B4418">
    <w:name w:val="F4C2EC4F9711EF479A6068D43D4B4418"/>
  </w:style>
  <w:style w:type="character" w:styleId="PlaceholderText">
    <w:name w:val="Placeholder Text"/>
    <w:basedOn w:val="DefaultParagraphFont"/>
    <w:uiPriority w:val="99"/>
    <w:semiHidden/>
    <w:rsid w:val="000433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Term Paper">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6B90AA6BD28F4598271A3405EE99E7" ma:contentTypeVersion="2" ma:contentTypeDescription="Create a new document." ma:contentTypeScope="" ma:versionID="cc9097c38fd5e44191ae7f1df2256680">
  <xsd:schema xmlns:xsd="http://www.w3.org/2001/XMLSchema" xmlns:xs="http://www.w3.org/2001/XMLSchema" xmlns:p="http://schemas.microsoft.com/office/2006/metadata/properties" xmlns:ns2="bf0dde70-ae85-4f7b-9514-a3ea0787b580" targetNamespace="http://schemas.microsoft.com/office/2006/metadata/properties" ma:root="true" ma:fieldsID="164e0dc43ee6ed8026b1c5b73328b572" ns2:_="">
    <xsd:import namespace="bf0dde70-ae85-4f7b-9514-a3ea0787b5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dde70-ae85-4f7b-9514-a3ea0787b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1A4ED755-91F5-444A-B160-E974690084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A3C270-5291-428C-87CE-EC31F7A26982}">
  <ds:schemaRefs>
    <ds:schemaRef ds:uri="http://schemas.microsoft.com/sharepoint/v3/contenttype/forms"/>
  </ds:schemaRefs>
</ds:datastoreItem>
</file>

<file path=customXml/itemProps3.xml><?xml version="1.0" encoding="utf-8"?>
<ds:datastoreItem xmlns:ds="http://schemas.openxmlformats.org/officeDocument/2006/customXml" ds:itemID="{8B95BD80-5DE2-44E8-81FF-876B9082D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dde70-ae85-4f7b-9514-a3ea0787b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2B6FF-E232-413A-A9CD-FFE76254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4744</Words>
  <Characters>27043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LCC Assessment Results</vt:lpstr>
    </vt:vector>
  </TitlesOfParts>
  <Manager/>
  <Company/>
  <LinksUpToDate>false</LinksUpToDate>
  <CharactersWithSpaces>31724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Assessment Results</dc:title>
  <dc:subject>Spring, 2016</dc:subject>
  <dc:creator>Anthony Hicks</dc:creator>
  <cp:keywords/>
  <dc:description/>
  <cp:lastModifiedBy>Grace Howe</cp:lastModifiedBy>
  <cp:revision>2</cp:revision>
  <cp:lastPrinted>2016-03-01T22:06:00Z</cp:lastPrinted>
  <dcterms:created xsi:type="dcterms:W3CDTF">2016-04-01T20:36:00Z</dcterms:created>
  <dcterms:modified xsi:type="dcterms:W3CDTF">2016-04-01T20:36:00Z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0x010100FF6B90AA6BD28F4598271A3405EE99E7</vt:lpwstr>
  </property>
</Properties>
</file>