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23C0BB0D" w:rsidR="00B25950" w:rsidRDefault="00B25950" w:rsidP="00B25950">
      <w:pPr>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3DFE05ED" w:rsidR="00CE00B1" w:rsidRPr="00C370EE" w:rsidRDefault="00CE00B1" w:rsidP="00CE00B1">
      <w:pPr>
        <w:spacing w:after="0"/>
        <w:jc w:val="center"/>
      </w:pPr>
      <w:r w:rsidRPr="00C370EE">
        <w:t xml:space="preserve">Meeting Held </w:t>
      </w:r>
      <w:r w:rsidR="00731AF8" w:rsidRPr="00C370EE">
        <w:t xml:space="preserve">Friday, </w:t>
      </w:r>
      <w:r w:rsidR="008F365A">
        <w:t>January 14, 2022</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77777777" w:rsidR="00CE00B1" w:rsidRPr="00091C29" w:rsidRDefault="00CE00B1" w:rsidP="00AD0BAB">
      <w:pPr>
        <w:pStyle w:val="Heading2"/>
      </w:pPr>
      <w:r w:rsidRPr="00091C29">
        <w:t>Team Members:</w:t>
      </w:r>
    </w:p>
    <w:p w14:paraId="6AC4A351" w14:textId="77777777" w:rsidR="00CE00B1" w:rsidRPr="00DB5B48" w:rsidRDefault="00CE00B1" w:rsidP="00340661">
      <w:pPr>
        <w:pStyle w:val="Heading3"/>
        <w:rPr>
          <w:color w:val="auto"/>
        </w:rPr>
      </w:pPr>
      <w:r w:rsidRPr="00DB5B48">
        <w:rPr>
          <w:color w:val="auto"/>
        </w:rPr>
        <w:t>Present:</w:t>
      </w:r>
      <w:r w:rsidRPr="00DB5B48">
        <w:rPr>
          <w:color w:val="auto"/>
        </w:rPr>
        <w:tab/>
      </w:r>
    </w:p>
    <w:p w14:paraId="14BA577C" w14:textId="47762D40" w:rsidR="00EB21E1" w:rsidRPr="00F255D0" w:rsidRDefault="00F255D0" w:rsidP="00A86364">
      <w:pPr>
        <w:spacing w:after="0"/>
        <w:ind w:left="720"/>
      </w:pPr>
      <w:r w:rsidRPr="00F255D0">
        <w:t xml:space="preserve">Dana Cogswell, </w:t>
      </w:r>
      <w:r w:rsidR="00D85FD2" w:rsidRPr="00F255D0">
        <w:t xml:space="preserve">Timothy Deines, </w:t>
      </w:r>
      <w:r w:rsidRPr="00F255D0">
        <w:t xml:space="preserve">Sandra Etherly-Johnson, Melinda Hernandez, Karen Hicks, </w:t>
      </w:r>
      <w:r w:rsidR="00A23288" w:rsidRPr="00F255D0">
        <w:t>Heidi Jordan,</w:t>
      </w:r>
      <w:r w:rsidR="004607E7" w:rsidRPr="00F255D0">
        <w:t xml:space="preserve"> </w:t>
      </w:r>
      <w:r w:rsidR="008715B8" w:rsidRPr="00F255D0">
        <w:t>Mark Kelland,</w:t>
      </w:r>
      <w:r w:rsidR="00A56E06" w:rsidRPr="00F255D0">
        <w:t xml:space="preserve"> </w:t>
      </w:r>
      <w:r w:rsidR="00A23288" w:rsidRPr="00F255D0">
        <w:t>Mark Khol</w:t>
      </w:r>
      <w:r w:rsidR="00EB21E1" w:rsidRPr="00F255D0">
        <w:t>,</w:t>
      </w:r>
      <w:r w:rsidR="00A80439" w:rsidRPr="00F255D0">
        <w:t xml:space="preserve"> </w:t>
      </w:r>
      <w:r w:rsidR="00091C29" w:rsidRPr="00F255D0">
        <w:t xml:space="preserve">Zack Macomber, </w:t>
      </w:r>
      <w:r w:rsidR="00DB5B48" w:rsidRPr="00F255D0">
        <w:t xml:space="preserve">Rafeeq McGiveron, </w:t>
      </w:r>
      <w:r w:rsidR="00A56E06" w:rsidRPr="00F255D0">
        <w:t xml:space="preserve">Rob McLoone, </w:t>
      </w:r>
      <w:r w:rsidR="00A23288" w:rsidRPr="00F255D0">
        <w:t xml:space="preserve">Dale Moler, </w:t>
      </w:r>
      <w:r w:rsidR="00D468AA" w:rsidRPr="00F255D0">
        <w:t>Tracy Nothnagel,</w:t>
      </w:r>
      <w:r w:rsidR="00A23288" w:rsidRPr="00F255D0">
        <w:t xml:space="preserve"> </w:t>
      </w:r>
      <w:r w:rsidR="00091C29" w:rsidRPr="00F255D0">
        <w:t>Chuck Page</w:t>
      </w:r>
      <w:r w:rsidR="007420C3" w:rsidRPr="00F255D0">
        <w:t xml:space="preserve">, </w:t>
      </w:r>
      <w:r w:rsidR="00D87123" w:rsidRPr="00F255D0">
        <w:t>Danielle Savory</w:t>
      </w:r>
      <w:r w:rsidR="007F2316" w:rsidRPr="00F255D0">
        <w:t>, and Kara Wiedman</w:t>
      </w:r>
    </w:p>
    <w:p w14:paraId="4BBAE9AB" w14:textId="77777777" w:rsidR="00CE00B1" w:rsidRPr="00F255D0" w:rsidRDefault="00CE00B1" w:rsidP="00340661">
      <w:pPr>
        <w:pStyle w:val="Heading3"/>
        <w:rPr>
          <w:color w:val="auto"/>
        </w:rPr>
      </w:pPr>
      <w:r w:rsidRPr="00F255D0">
        <w:rPr>
          <w:color w:val="auto"/>
        </w:rPr>
        <w:t xml:space="preserve">Absent: </w:t>
      </w:r>
    </w:p>
    <w:p w14:paraId="5CA312BF" w14:textId="587A95E8" w:rsidR="00340661" w:rsidRPr="00F255D0" w:rsidRDefault="00F255D0" w:rsidP="00A86364">
      <w:pPr>
        <w:spacing w:after="0"/>
        <w:ind w:left="720"/>
      </w:pPr>
      <w:r w:rsidRPr="00F255D0">
        <w:t>Patti Ayers</w:t>
      </w:r>
    </w:p>
    <w:p w14:paraId="77130A1E" w14:textId="223C3D81" w:rsidR="00A23288" w:rsidRPr="00F255D0" w:rsidRDefault="00A23288" w:rsidP="00E90D16">
      <w:pPr>
        <w:pStyle w:val="Heading3"/>
        <w:spacing w:before="0"/>
        <w:rPr>
          <w:color w:val="auto"/>
        </w:rPr>
      </w:pPr>
      <w:r w:rsidRPr="00F255D0">
        <w:rPr>
          <w:color w:val="auto"/>
        </w:rPr>
        <w:t>Guest</w:t>
      </w:r>
      <w:r w:rsidR="00DB5B48" w:rsidRPr="00F255D0">
        <w:rPr>
          <w:color w:val="auto"/>
        </w:rPr>
        <w:t>s</w:t>
      </w:r>
      <w:r w:rsidRPr="00F255D0">
        <w:rPr>
          <w:color w:val="auto"/>
        </w:rPr>
        <w:t>:</w:t>
      </w:r>
    </w:p>
    <w:p w14:paraId="4FEC3CBD" w14:textId="10CD239C" w:rsidR="00993B7E" w:rsidRPr="00F255D0" w:rsidRDefault="00091C29" w:rsidP="00A86364">
      <w:pPr>
        <w:spacing w:after="0"/>
        <w:ind w:left="720"/>
      </w:pPr>
      <w:r w:rsidRPr="00F255D0">
        <w:t>Cheryl Garayta</w:t>
      </w:r>
      <w:r w:rsidR="00625533" w:rsidRPr="00F255D0">
        <w:t xml:space="preserve"> </w:t>
      </w:r>
    </w:p>
    <w:p w14:paraId="08B7F582" w14:textId="77777777" w:rsidR="00CE00B1" w:rsidRPr="00CE00B1" w:rsidRDefault="00CE00B1" w:rsidP="00CE00B1">
      <w:pPr>
        <w:pBdr>
          <w:top w:val="thickThinMediumGap" w:sz="24" w:space="1" w:color="auto"/>
        </w:pBdr>
        <w:spacing w:after="0"/>
        <w:rPr>
          <w:sz w:val="8"/>
          <w:szCs w:val="8"/>
        </w:rPr>
      </w:pPr>
    </w:p>
    <w:p w14:paraId="14522E22" w14:textId="77777777"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0D266C52" w14:textId="0D4035B0" w:rsidR="008F365A" w:rsidRDefault="0086448E" w:rsidP="008F365A">
      <w:pPr>
        <w:pStyle w:val="ListParagraph"/>
        <w:numPr>
          <w:ilvl w:val="0"/>
          <w:numId w:val="6"/>
        </w:numPr>
      </w:pPr>
      <w:r>
        <w:t>Continue workgroup conversations as needed outside of CASL meeting time.</w:t>
      </w:r>
    </w:p>
    <w:p w14:paraId="6DED01E6" w14:textId="565EC2FB" w:rsidR="000D1A8B" w:rsidRDefault="000D1A8B" w:rsidP="008F365A">
      <w:pPr>
        <w:pStyle w:val="Heading2"/>
      </w:pPr>
      <w:r>
        <w:t>Approval of</w:t>
      </w:r>
      <w:r w:rsidR="00017633">
        <w:t xml:space="preserve"> </w:t>
      </w:r>
      <w:r w:rsidR="008F365A">
        <w:t>01</w:t>
      </w:r>
      <w:r w:rsidR="006C587D">
        <w:t>/</w:t>
      </w:r>
      <w:r w:rsidR="008F365A">
        <w:t>14</w:t>
      </w:r>
      <w:r>
        <w:t>/2</w:t>
      </w:r>
      <w:r w:rsidR="008F365A">
        <w:t>2</w:t>
      </w:r>
      <w:r>
        <w:t xml:space="preserve"> Agenda</w:t>
      </w:r>
    </w:p>
    <w:p w14:paraId="386ED1C3" w14:textId="77777777" w:rsidR="000D1A8B" w:rsidRPr="00F255D0" w:rsidRDefault="000D1A8B" w:rsidP="000D1A8B">
      <w:pPr>
        <w:numPr>
          <w:ilvl w:val="0"/>
          <w:numId w:val="1"/>
        </w:numPr>
        <w:spacing w:after="0"/>
        <w:contextualSpacing/>
      </w:pPr>
      <w:r w:rsidRPr="00F255D0">
        <w:t xml:space="preserve">Call for approval of agenda. </w:t>
      </w:r>
    </w:p>
    <w:p w14:paraId="0E71ED66" w14:textId="77777777" w:rsidR="000D1A8B" w:rsidRPr="00F255D0" w:rsidRDefault="00343838" w:rsidP="000D1A8B">
      <w:pPr>
        <w:numPr>
          <w:ilvl w:val="0"/>
          <w:numId w:val="1"/>
        </w:numPr>
        <w:spacing w:after="120"/>
        <w:contextualSpacing/>
      </w:pPr>
      <w:r w:rsidRPr="00F255D0">
        <w:t>Hearing no</w:t>
      </w:r>
      <w:r w:rsidR="0073176F" w:rsidRPr="00F255D0">
        <w:t xml:space="preserve"> objections</w:t>
      </w:r>
      <w:r w:rsidR="00030CB8" w:rsidRPr="00F255D0">
        <w:t>,</w:t>
      </w:r>
      <w:r w:rsidRPr="00F255D0">
        <w:t xml:space="preserve"> the agenda stands</w:t>
      </w:r>
      <w:r w:rsidR="000D1A8B" w:rsidRPr="00F255D0">
        <w:t xml:space="preserve"> approved.</w:t>
      </w:r>
    </w:p>
    <w:p w14:paraId="43AD2770" w14:textId="5242ACF8" w:rsidR="00C2276C" w:rsidRPr="00F255D0" w:rsidRDefault="000D1A8B" w:rsidP="007476B5">
      <w:pPr>
        <w:pStyle w:val="Heading2"/>
      </w:pPr>
      <w:r w:rsidRPr="00F255D0">
        <w:t xml:space="preserve"> </w:t>
      </w:r>
      <w:r w:rsidR="00C2276C" w:rsidRPr="00F255D0">
        <w:t xml:space="preserve">Approval of </w:t>
      </w:r>
      <w:r w:rsidR="00EB0E34" w:rsidRPr="00F255D0">
        <w:t>1</w:t>
      </w:r>
      <w:r w:rsidR="008F365A" w:rsidRPr="00F255D0">
        <w:t>2</w:t>
      </w:r>
      <w:r w:rsidR="00400BB2" w:rsidRPr="00F255D0">
        <w:t>/</w:t>
      </w:r>
      <w:r w:rsidR="008F365A" w:rsidRPr="00F255D0">
        <w:t>03</w:t>
      </w:r>
      <w:r w:rsidR="00400BB2" w:rsidRPr="00F255D0">
        <w:t>/21</w:t>
      </w:r>
      <w:r w:rsidR="00C2276C" w:rsidRPr="00F255D0">
        <w:t xml:space="preserve"> Notes</w:t>
      </w:r>
    </w:p>
    <w:p w14:paraId="64CED52B" w14:textId="77777777" w:rsidR="00C2276C" w:rsidRPr="00F255D0" w:rsidRDefault="00C2276C" w:rsidP="00C2276C">
      <w:pPr>
        <w:numPr>
          <w:ilvl w:val="0"/>
          <w:numId w:val="1"/>
        </w:numPr>
        <w:spacing w:after="0"/>
        <w:contextualSpacing/>
      </w:pPr>
      <w:r w:rsidRPr="00F255D0">
        <w:t xml:space="preserve">Call for </w:t>
      </w:r>
      <w:r w:rsidR="000D1A8B" w:rsidRPr="00F255D0">
        <w:t>correction/</w:t>
      </w:r>
      <w:r w:rsidRPr="00F255D0">
        <w:t xml:space="preserve">approval of </w:t>
      </w:r>
      <w:r w:rsidR="008B183A" w:rsidRPr="00F255D0">
        <w:t>minutes</w:t>
      </w:r>
      <w:r w:rsidR="001F532D" w:rsidRPr="00F255D0">
        <w:t>.</w:t>
      </w:r>
    </w:p>
    <w:p w14:paraId="6DD4B885" w14:textId="6345E643" w:rsidR="00A53F82" w:rsidRPr="00F255D0" w:rsidRDefault="00A53F82" w:rsidP="00A53F82">
      <w:pPr>
        <w:numPr>
          <w:ilvl w:val="0"/>
          <w:numId w:val="1"/>
        </w:numPr>
        <w:spacing w:after="120"/>
        <w:contextualSpacing/>
      </w:pPr>
      <w:r w:rsidRPr="00F255D0">
        <w:t>Hearing no objections, the notes stand approved.</w:t>
      </w:r>
    </w:p>
    <w:p w14:paraId="05E20FF5" w14:textId="38B8B7FF" w:rsidR="00993B7E" w:rsidRDefault="008F365A" w:rsidP="0032215B">
      <w:pPr>
        <w:pStyle w:val="Heading2"/>
      </w:pPr>
      <w:r>
        <w:t>Assessment’s role in HLC Accreditation and Federal Agenda – Mark Kelland</w:t>
      </w:r>
    </w:p>
    <w:p w14:paraId="49765903" w14:textId="0F0E5F64" w:rsidR="00D51999" w:rsidRDefault="00D51999" w:rsidP="00D51999">
      <w:pPr>
        <w:pStyle w:val="ListParagraph"/>
        <w:numPr>
          <w:ilvl w:val="0"/>
          <w:numId w:val="14"/>
        </w:numPr>
      </w:pPr>
      <w:r>
        <w:t xml:space="preserve">Currently Mark </w:t>
      </w:r>
      <w:r w:rsidR="00833E55">
        <w:t>performs several duties</w:t>
      </w:r>
      <w:r>
        <w:t xml:space="preserve"> which give him </w:t>
      </w:r>
      <w:r w:rsidR="00833E55">
        <w:t>a comprehensive perspective on this topic.</w:t>
      </w:r>
    </w:p>
    <w:p w14:paraId="2094D894" w14:textId="77777777" w:rsidR="00D51999" w:rsidRDefault="00D51999" w:rsidP="00D51999">
      <w:pPr>
        <w:pStyle w:val="ListParagraph"/>
        <w:numPr>
          <w:ilvl w:val="1"/>
          <w:numId w:val="14"/>
        </w:numPr>
      </w:pPr>
      <w:r>
        <w:t>LCC Faculty</w:t>
      </w:r>
    </w:p>
    <w:p w14:paraId="47858E47" w14:textId="30A180D7" w:rsidR="00D51999" w:rsidRDefault="00D51999" w:rsidP="00D51999">
      <w:pPr>
        <w:pStyle w:val="ListParagraph"/>
        <w:numPr>
          <w:ilvl w:val="1"/>
          <w:numId w:val="14"/>
        </w:numPr>
      </w:pPr>
      <w:r>
        <w:t xml:space="preserve">LCC’s Higher Learning Commission (HLC) Accreditation Liaison Officer </w:t>
      </w:r>
    </w:p>
    <w:p w14:paraId="060CBE27" w14:textId="45905C09" w:rsidR="00D51999" w:rsidRDefault="00D51999" w:rsidP="00D51999">
      <w:pPr>
        <w:pStyle w:val="ListParagraph"/>
        <w:numPr>
          <w:ilvl w:val="1"/>
          <w:numId w:val="14"/>
        </w:numPr>
      </w:pPr>
      <w:r>
        <w:t xml:space="preserve">HLC’s </w:t>
      </w:r>
      <w:r w:rsidR="005F1F62">
        <w:t xml:space="preserve">Peer Reviewer </w:t>
      </w:r>
    </w:p>
    <w:p w14:paraId="35ECF77B" w14:textId="51442100" w:rsidR="00833E55" w:rsidRPr="00833E55" w:rsidRDefault="001C05B7" w:rsidP="00833E55">
      <w:pPr>
        <w:pStyle w:val="ListParagraph"/>
        <w:numPr>
          <w:ilvl w:val="0"/>
          <w:numId w:val="14"/>
        </w:numPr>
        <w:rPr>
          <w:rStyle w:val="Hyperlink"/>
          <w:color w:val="auto"/>
          <w:u w:val="none"/>
        </w:rPr>
      </w:pPr>
      <w:hyperlink r:id="rId12" w:history="1">
        <w:r w:rsidR="00833E55" w:rsidRPr="00CE399A">
          <w:rPr>
            <w:rStyle w:val="Hyperlink"/>
            <w:rFonts w:cstheme="minorHAnsi"/>
            <w:szCs w:val="24"/>
          </w:rPr>
          <w:t>HLC Accreditation Criteria</w:t>
        </w:r>
      </w:hyperlink>
      <w:r w:rsidR="00833E55">
        <w:rPr>
          <w:rStyle w:val="Hyperlink"/>
          <w:rFonts w:cstheme="minorHAnsi"/>
          <w:szCs w:val="24"/>
        </w:rPr>
        <w:t xml:space="preserve"> </w:t>
      </w:r>
      <w:r w:rsidR="00833E55">
        <w:rPr>
          <w:rStyle w:val="Hyperlink"/>
          <w:rFonts w:cstheme="minorHAnsi"/>
          <w:szCs w:val="24"/>
          <w:u w:val="none"/>
        </w:rPr>
        <w:t xml:space="preserve"> </w:t>
      </w:r>
      <w:r w:rsidR="00833E55">
        <w:rPr>
          <w:rStyle w:val="Hyperlink"/>
          <w:rFonts w:cstheme="minorHAnsi"/>
          <w:color w:val="auto"/>
          <w:szCs w:val="24"/>
          <w:u w:val="none"/>
        </w:rPr>
        <w:t xml:space="preserve">consists of 5 criteria with 13 core components and 63 subcomponents. </w:t>
      </w:r>
    </w:p>
    <w:p w14:paraId="661D61B1" w14:textId="7202ADF5" w:rsidR="00833E55" w:rsidRDefault="00833E55" w:rsidP="00833E55">
      <w:pPr>
        <w:pStyle w:val="ListParagraph"/>
        <w:numPr>
          <w:ilvl w:val="1"/>
          <w:numId w:val="14"/>
        </w:numPr>
      </w:pPr>
      <w:r>
        <w:t>Accreditation teams focus their evaluation on how an institution addresses the 13 core components within the 5 criteria</w:t>
      </w:r>
    </w:p>
    <w:p w14:paraId="6BD888A3" w14:textId="69DC6F07" w:rsidR="00833E55" w:rsidRDefault="00833E55" w:rsidP="00833E55">
      <w:pPr>
        <w:pStyle w:val="ListParagraph"/>
        <w:numPr>
          <w:ilvl w:val="1"/>
          <w:numId w:val="14"/>
        </w:numPr>
      </w:pPr>
      <w:r>
        <w:t>5 Criteria:</w:t>
      </w:r>
    </w:p>
    <w:p w14:paraId="5D87E5B3" w14:textId="63107BF2" w:rsidR="00833E55" w:rsidRDefault="00833E55" w:rsidP="00833E55">
      <w:pPr>
        <w:pStyle w:val="ListParagraph"/>
        <w:numPr>
          <w:ilvl w:val="2"/>
          <w:numId w:val="15"/>
        </w:numPr>
      </w:pPr>
      <w:r>
        <w:t>Mission</w:t>
      </w:r>
    </w:p>
    <w:p w14:paraId="4183E1C3" w14:textId="01920AF7" w:rsidR="00833E55" w:rsidRDefault="00833E55" w:rsidP="00833E55">
      <w:pPr>
        <w:pStyle w:val="ListParagraph"/>
        <w:numPr>
          <w:ilvl w:val="2"/>
          <w:numId w:val="15"/>
        </w:numPr>
      </w:pPr>
      <w:r>
        <w:t>Integrity: Ethical and Responsible Conduct</w:t>
      </w:r>
      <w:r w:rsidR="00691ED6">
        <w:t xml:space="preserve"> (Basically the governance of the college)</w:t>
      </w:r>
    </w:p>
    <w:p w14:paraId="7B78D898" w14:textId="2437DF7C" w:rsidR="00833E55" w:rsidRDefault="00833E55" w:rsidP="00833E55">
      <w:pPr>
        <w:pStyle w:val="ListParagraph"/>
        <w:numPr>
          <w:ilvl w:val="2"/>
          <w:numId w:val="15"/>
        </w:numPr>
      </w:pPr>
      <w:r>
        <w:t>Teaching and Learning: Quality, Resources, and Support</w:t>
      </w:r>
      <w:r w:rsidR="00691ED6">
        <w:t xml:space="preserve"> (Teaching)</w:t>
      </w:r>
    </w:p>
    <w:p w14:paraId="661A287E" w14:textId="53F4235A" w:rsidR="00833E55" w:rsidRDefault="00833E55" w:rsidP="00833E55">
      <w:pPr>
        <w:pStyle w:val="ListParagraph"/>
        <w:numPr>
          <w:ilvl w:val="2"/>
          <w:numId w:val="15"/>
        </w:numPr>
      </w:pPr>
      <w:r>
        <w:t>Teaching and Learning: Evaluation and Improvement</w:t>
      </w:r>
      <w:r w:rsidR="00691ED6">
        <w:t xml:space="preserve"> (Assessment)</w:t>
      </w:r>
    </w:p>
    <w:p w14:paraId="79472BDF" w14:textId="28CDF728" w:rsidR="00833E55" w:rsidRDefault="00833E55" w:rsidP="00833E55">
      <w:pPr>
        <w:pStyle w:val="ListParagraph"/>
        <w:numPr>
          <w:ilvl w:val="2"/>
          <w:numId w:val="15"/>
        </w:numPr>
      </w:pPr>
      <w:r>
        <w:t>Institutional Effectiveness, Resources and Planning</w:t>
      </w:r>
      <w:r w:rsidR="00691ED6">
        <w:t xml:space="preserve"> (Strategic Planning)</w:t>
      </w:r>
    </w:p>
    <w:p w14:paraId="2F3B8821" w14:textId="2BAE94B5" w:rsidR="00833E55" w:rsidRDefault="00833E55" w:rsidP="00833E55">
      <w:pPr>
        <w:pStyle w:val="ListParagraph"/>
        <w:numPr>
          <w:ilvl w:val="1"/>
          <w:numId w:val="15"/>
        </w:numPr>
      </w:pPr>
      <w:r>
        <w:t xml:space="preserve">While </w:t>
      </w:r>
      <w:r w:rsidR="00A86364">
        <w:t>each</w:t>
      </w:r>
      <w:r>
        <w:t xml:space="preserve"> accreditation reviewer will </w:t>
      </w:r>
      <w:r w:rsidR="00490A06">
        <w:t xml:space="preserve">be responsible for looking at the institution as a whole they specialize and Mark’s focus is on Criteria 4 </w:t>
      </w:r>
      <w:r w:rsidR="00691ED6">
        <w:t>which</w:t>
      </w:r>
      <w:r w:rsidR="00490A06">
        <w:t xml:space="preserve"> has three core components in it</w:t>
      </w:r>
    </w:p>
    <w:p w14:paraId="7E8A5ADC" w14:textId="3AA85B8C" w:rsidR="00490A06" w:rsidRDefault="00490A06" w:rsidP="000A7D11">
      <w:pPr>
        <w:tabs>
          <w:tab w:val="left" w:pos="2250"/>
        </w:tabs>
        <w:spacing w:after="0"/>
        <w:ind w:left="2250" w:hanging="450"/>
      </w:pPr>
      <w:r>
        <w:t>4A.</w:t>
      </w:r>
      <w:r>
        <w:tab/>
        <w:t>Institution ensures the quality of its educational offerings</w:t>
      </w:r>
    </w:p>
    <w:p w14:paraId="2ABA3517" w14:textId="67CCE771" w:rsidR="00490A06" w:rsidRDefault="00490A06" w:rsidP="000A7D11">
      <w:pPr>
        <w:tabs>
          <w:tab w:val="left" w:pos="2250"/>
        </w:tabs>
        <w:spacing w:after="0"/>
        <w:ind w:left="2250" w:hanging="450"/>
      </w:pPr>
      <w:r>
        <w:lastRenderedPageBreak/>
        <w:t>4B.</w:t>
      </w:r>
      <w:r>
        <w:tab/>
        <w:t>Institution engages in ongoing assessment of student learning as part of its commitment to the education outcomes of its students</w:t>
      </w:r>
    </w:p>
    <w:p w14:paraId="29D68065" w14:textId="3AD7D53C" w:rsidR="00490A06" w:rsidRDefault="00490A06" w:rsidP="000A7D11">
      <w:pPr>
        <w:tabs>
          <w:tab w:val="left" w:pos="2250"/>
        </w:tabs>
        <w:spacing w:after="0"/>
        <w:ind w:left="2250" w:hanging="450"/>
      </w:pPr>
      <w:r>
        <w:t>4C.</w:t>
      </w:r>
      <w:r>
        <w:tab/>
        <w:t>The institution pursues educational improvement through goals and strategies that improve retention, persistence and completion rates in its degree and certification programs</w:t>
      </w:r>
    </w:p>
    <w:p w14:paraId="326E0E42" w14:textId="79F98F84" w:rsidR="00490A06" w:rsidRDefault="00691ED6" w:rsidP="00490A06">
      <w:pPr>
        <w:pStyle w:val="ListParagraph"/>
        <w:numPr>
          <w:ilvl w:val="1"/>
          <w:numId w:val="15"/>
        </w:numPr>
      </w:pPr>
      <w:r>
        <w:t>When reviewing Criteria 4B, there are two key words and one phrase that Mark thinks encapsulates what he is looking for</w:t>
      </w:r>
      <w:r w:rsidR="00A86364">
        <w:t xml:space="preserve"> at an institution</w:t>
      </w:r>
    </w:p>
    <w:p w14:paraId="6CF34BA0" w14:textId="157B8E49" w:rsidR="00691ED6" w:rsidRDefault="00691ED6" w:rsidP="00691ED6">
      <w:pPr>
        <w:pStyle w:val="ListParagraph"/>
        <w:numPr>
          <w:ilvl w:val="2"/>
          <w:numId w:val="15"/>
        </w:numPr>
      </w:pPr>
      <w:r>
        <w:t>Ongoing</w:t>
      </w:r>
    </w:p>
    <w:p w14:paraId="400E319B" w14:textId="543ED4BF" w:rsidR="00691ED6" w:rsidRDefault="00691ED6" w:rsidP="00691ED6">
      <w:pPr>
        <w:pStyle w:val="ListParagraph"/>
        <w:numPr>
          <w:ilvl w:val="2"/>
          <w:numId w:val="15"/>
        </w:numPr>
      </w:pPr>
      <w:r>
        <w:t>Commitment</w:t>
      </w:r>
    </w:p>
    <w:p w14:paraId="09748C37" w14:textId="2945D31C" w:rsidR="00691ED6" w:rsidRDefault="00691ED6" w:rsidP="00691ED6">
      <w:pPr>
        <w:pStyle w:val="ListParagraph"/>
        <w:numPr>
          <w:ilvl w:val="2"/>
          <w:numId w:val="15"/>
        </w:numPr>
      </w:pPr>
      <w:r>
        <w:t>“Actively involving faculty in the educational outcomes of the students.”</w:t>
      </w:r>
    </w:p>
    <w:p w14:paraId="76C0A299" w14:textId="2293AF90" w:rsidR="000A7D11" w:rsidRDefault="000A7D11" w:rsidP="00C36EF2">
      <w:pPr>
        <w:pStyle w:val="ListParagraph"/>
        <w:numPr>
          <w:ilvl w:val="0"/>
          <w:numId w:val="15"/>
        </w:numPr>
      </w:pPr>
      <w:r>
        <w:t>Mark shared</w:t>
      </w:r>
      <w:r w:rsidR="00184E66">
        <w:t xml:space="preserve"> several</w:t>
      </w:r>
      <w:r>
        <w:t xml:space="preserve"> examples of what he has seen at other colleges while being a peer reviewer</w:t>
      </w:r>
      <w:r w:rsidR="00C36EF2">
        <w:t>.</w:t>
      </w:r>
    </w:p>
    <w:p w14:paraId="0AECA3D6" w14:textId="092BE110" w:rsidR="000A7D11" w:rsidRDefault="000A7D11" w:rsidP="00C36EF2">
      <w:pPr>
        <w:pStyle w:val="ListParagraph"/>
        <w:numPr>
          <w:ilvl w:val="1"/>
          <w:numId w:val="15"/>
        </w:numPr>
      </w:pPr>
      <w:r>
        <w:t>Main tripping area of institutions is their assessment work</w:t>
      </w:r>
    </w:p>
    <w:p w14:paraId="01AD3B1C" w14:textId="7603B695" w:rsidR="00C36EF2" w:rsidRDefault="00C36EF2" w:rsidP="00C36EF2">
      <w:pPr>
        <w:pStyle w:val="ListParagraph"/>
        <w:numPr>
          <w:ilvl w:val="1"/>
          <w:numId w:val="15"/>
        </w:numPr>
      </w:pPr>
      <w:r>
        <w:t>Program review is a key component in educational improvement and the process is looked at by HLC reviewers</w:t>
      </w:r>
    </w:p>
    <w:p w14:paraId="58A4ED72" w14:textId="34BF3C50" w:rsidR="00C36EF2" w:rsidRDefault="00C36EF2" w:rsidP="00C36EF2">
      <w:pPr>
        <w:pStyle w:val="ListParagraph"/>
        <w:numPr>
          <w:ilvl w:val="0"/>
          <w:numId w:val="15"/>
        </w:numPr>
      </w:pPr>
      <w:r>
        <w:t>In 2015/16 LCC was just beginning the refinement of our assessment process.</w:t>
      </w:r>
    </w:p>
    <w:p w14:paraId="51199E4C" w14:textId="1D9C1259" w:rsidR="00C36EF2" w:rsidRDefault="00C36EF2" w:rsidP="00C36EF2">
      <w:pPr>
        <w:pStyle w:val="ListParagraph"/>
        <w:numPr>
          <w:ilvl w:val="1"/>
          <w:numId w:val="15"/>
        </w:numPr>
      </w:pPr>
      <w:r>
        <w:t>Newly created college wide assessment plan</w:t>
      </w:r>
    </w:p>
    <w:p w14:paraId="0778A4D2" w14:textId="3E29B4AF" w:rsidR="00C36EF2" w:rsidRDefault="00C36EF2" w:rsidP="00C36EF2">
      <w:pPr>
        <w:pStyle w:val="ListParagraph"/>
        <w:numPr>
          <w:ilvl w:val="1"/>
          <w:numId w:val="15"/>
        </w:numPr>
      </w:pPr>
      <w:r>
        <w:t>CASL established</w:t>
      </w:r>
    </w:p>
    <w:p w14:paraId="61057CCE" w14:textId="07DCB642" w:rsidR="00C36EF2" w:rsidRDefault="00C36EF2" w:rsidP="00C36EF2">
      <w:pPr>
        <w:pStyle w:val="ListParagraph"/>
        <w:numPr>
          <w:ilvl w:val="1"/>
          <w:numId w:val="15"/>
        </w:numPr>
      </w:pPr>
      <w:r>
        <w:t>Karen hired as Director of Assessment</w:t>
      </w:r>
    </w:p>
    <w:p w14:paraId="775E5820" w14:textId="075639DE" w:rsidR="0015768B" w:rsidRDefault="0015768B" w:rsidP="00C36EF2">
      <w:pPr>
        <w:pStyle w:val="ListParagraph"/>
        <w:numPr>
          <w:ilvl w:val="0"/>
          <w:numId w:val="15"/>
        </w:numPr>
      </w:pPr>
      <w:r>
        <w:t xml:space="preserve">Interesting to note,  the LCC Curriculum Committee was formed as </w:t>
      </w:r>
      <w:r w:rsidR="0086448E">
        <w:t>an</w:t>
      </w:r>
      <w:r>
        <w:t xml:space="preserve"> Academic Senate Standing Committee in response to HLC Criteria 3 while CASL was created in response to HLC Criteria 4.</w:t>
      </w:r>
    </w:p>
    <w:p w14:paraId="72D5E732" w14:textId="544EBC84" w:rsidR="0067436B" w:rsidRDefault="001A3429" w:rsidP="00DE03EF">
      <w:pPr>
        <w:pStyle w:val="ListParagraph"/>
        <w:numPr>
          <w:ilvl w:val="0"/>
          <w:numId w:val="15"/>
        </w:numPr>
      </w:pPr>
      <w:r>
        <w:t xml:space="preserve">Co-curricular </w:t>
      </w:r>
      <w:r w:rsidR="0015768B">
        <w:t>assessment</w:t>
      </w:r>
      <w:r>
        <w:t xml:space="preserve"> is on</w:t>
      </w:r>
      <w:r w:rsidR="0015768B">
        <w:t xml:space="preserve">e of the 63 </w:t>
      </w:r>
      <w:r>
        <w:t>subcomponent</w:t>
      </w:r>
      <w:r w:rsidR="0015768B">
        <w:t>s</w:t>
      </w:r>
      <w:r>
        <w:t>, not a core component</w:t>
      </w:r>
      <w:r w:rsidR="0015768B">
        <w:t xml:space="preserve"> being evaluated by HLC at this time. But</w:t>
      </w:r>
      <w:r>
        <w:t xml:space="preserve"> it is also referenced in criteria</w:t>
      </w:r>
      <w:r w:rsidR="0015768B">
        <w:t xml:space="preserve"> and it is good LCC is working on this aspect.</w:t>
      </w:r>
    </w:p>
    <w:p w14:paraId="6BA2FF53" w14:textId="5D2786A8" w:rsidR="0015768B" w:rsidRDefault="0015768B" w:rsidP="00DE03EF">
      <w:pPr>
        <w:pStyle w:val="ListParagraph"/>
        <w:numPr>
          <w:ilvl w:val="0"/>
          <w:numId w:val="15"/>
        </w:numPr>
      </w:pPr>
      <w:r>
        <w:t>Questions from the group for Mark:</w:t>
      </w:r>
    </w:p>
    <w:p w14:paraId="62C4E89D" w14:textId="5CEAE0A2" w:rsidR="0015768B" w:rsidRDefault="00D22DF6" w:rsidP="0015768B">
      <w:pPr>
        <w:pStyle w:val="ListParagraph"/>
        <w:numPr>
          <w:ilvl w:val="1"/>
          <w:numId w:val="15"/>
        </w:numPr>
      </w:pPr>
      <w:r>
        <w:t>What type of evidence do you typically see for Criteria 4B?</w:t>
      </w:r>
    </w:p>
    <w:p w14:paraId="1FD679C6" w14:textId="6715EC00" w:rsidR="00D22DF6" w:rsidRDefault="00D22DF6" w:rsidP="00D22DF6">
      <w:pPr>
        <w:pStyle w:val="ListParagraph"/>
        <w:numPr>
          <w:ilvl w:val="2"/>
          <w:numId w:val="15"/>
        </w:numPr>
      </w:pPr>
      <w:r>
        <w:t>A good assessment plan</w:t>
      </w:r>
      <w:r w:rsidR="00D25BF3">
        <w:t xml:space="preserve"> for the institution</w:t>
      </w:r>
    </w:p>
    <w:p w14:paraId="39B8930C" w14:textId="06E1CF33" w:rsidR="00D22DF6" w:rsidRDefault="00D22DF6" w:rsidP="00D22DF6">
      <w:pPr>
        <w:pStyle w:val="ListParagraph"/>
        <w:numPr>
          <w:ilvl w:val="2"/>
          <w:numId w:val="15"/>
        </w:numPr>
      </w:pPr>
      <w:r>
        <w:t>Look at retention/persistence and success information</w:t>
      </w:r>
    </w:p>
    <w:p w14:paraId="3E7A4FA6" w14:textId="0078FCA2" w:rsidR="00D22DF6" w:rsidRDefault="00D22DF6" w:rsidP="00D22DF6">
      <w:pPr>
        <w:pStyle w:val="ListParagraph"/>
        <w:numPr>
          <w:ilvl w:val="3"/>
          <w:numId w:val="15"/>
        </w:numPr>
      </w:pPr>
      <w:r>
        <w:t>Not required but hope to see a steady improvement there</w:t>
      </w:r>
    </w:p>
    <w:p w14:paraId="3C8095D7" w14:textId="1C759813" w:rsidR="00D22DF6" w:rsidRDefault="00D22DF6" w:rsidP="00D22DF6">
      <w:pPr>
        <w:pStyle w:val="ListParagraph"/>
        <w:numPr>
          <w:ilvl w:val="3"/>
          <w:numId w:val="15"/>
        </w:numPr>
      </w:pPr>
      <w:r>
        <w:t>COVID’s effects on several elements are recognized</w:t>
      </w:r>
    </w:p>
    <w:p w14:paraId="6657C606" w14:textId="6F2CF642" w:rsidR="00D22DF6" w:rsidRDefault="00D22DF6" w:rsidP="00D22DF6">
      <w:pPr>
        <w:pStyle w:val="ListParagraph"/>
        <w:numPr>
          <w:ilvl w:val="2"/>
          <w:numId w:val="15"/>
        </w:numPr>
      </w:pPr>
      <w:r>
        <w:t>Will also look at the Program Review process</w:t>
      </w:r>
      <w:r w:rsidR="00D25BF3">
        <w:t xml:space="preserve"> used throughout the institution</w:t>
      </w:r>
    </w:p>
    <w:p w14:paraId="2AF02A5A" w14:textId="73FE09A7" w:rsidR="00D25BF3" w:rsidRDefault="00D25BF3" w:rsidP="00D25BF3">
      <w:pPr>
        <w:pStyle w:val="ListParagraph"/>
        <w:numPr>
          <w:ilvl w:val="1"/>
          <w:numId w:val="15"/>
        </w:numPr>
      </w:pPr>
      <w:r>
        <w:t xml:space="preserve">What, if anything, does </w:t>
      </w:r>
      <w:r w:rsidR="00A86364">
        <w:t xml:space="preserve">diversity, </w:t>
      </w:r>
      <w:r>
        <w:t>equity and inclusion</w:t>
      </w:r>
      <w:r w:rsidR="00A86364">
        <w:t xml:space="preserve"> (DEI)</w:t>
      </w:r>
      <w:r>
        <w:t xml:space="preserve"> have to do with assessment?</w:t>
      </w:r>
    </w:p>
    <w:p w14:paraId="7F46A3D2" w14:textId="5921B613" w:rsidR="00D25BF3" w:rsidRDefault="00D25BF3" w:rsidP="00D25BF3">
      <w:pPr>
        <w:pStyle w:val="ListParagraph"/>
        <w:numPr>
          <w:ilvl w:val="2"/>
          <w:numId w:val="15"/>
        </w:numPr>
      </w:pPr>
      <w:r>
        <w:t>HLC does not tell schools what to do, in fact it is avoided at all costs.</w:t>
      </w:r>
    </w:p>
    <w:p w14:paraId="0F2DF4A4" w14:textId="3269B93F" w:rsidR="00D25BF3" w:rsidRDefault="00D25BF3" w:rsidP="00D25BF3">
      <w:pPr>
        <w:pStyle w:val="ListParagraph"/>
        <w:numPr>
          <w:ilvl w:val="3"/>
          <w:numId w:val="15"/>
        </w:numPr>
      </w:pPr>
      <w:r>
        <w:t>HLC evaluates everything from tiny tribal schools to major research universities so tries to keep their guidelines very general</w:t>
      </w:r>
    </w:p>
    <w:p w14:paraId="1CF46D39" w14:textId="1ECF36DD" w:rsidR="00D25BF3" w:rsidRDefault="00D25BF3" w:rsidP="00D25BF3">
      <w:pPr>
        <w:pStyle w:val="ListParagraph"/>
        <w:numPr>
          <w:ilvl w:val="2"/>
          <w:numId w:val="15"/>
        </w:numPr>
      </w:pPr>
      <w:r>
        <w:t>The assessment aspect would look at student learning of the entire group and if that showed issues would then indicate a need for closer study</w:t>
      </w:r>
    </w:p>
    <w:p w14:paraId="35B67AA2" w14:textId="2DED44E2" w:rsidR="00D25BF3" w:rsidRDefault="00D25BF3" w:rsidP="00D25BF3">
      <w:pPr>
        <w:pStyle w:val="ListParagraph"/>
        <w:numPr>
          <w:ilvl w:val="3"/>
          <w:numId w:val="15"/>
        </w:numPr>
      </w:pPr>
      <w:r>
        <w:t xml:space="preserve">At that point, if that area is where the issue lies, </w:t>
      </w:r>
      <w:r w:rsidR="00A86364">
        <w:t>DEI</w:t>
      </w:r>
      <w:r>
        <w:t xml:space="preserve"> would become part of the discussion</w:t>
      </w:r>
    </w:p>
    <w:p w14:paraId="3702E2CB" w14:textId="008CBB25" w:rsidR="00D25BF3" w:rsidRDefault="00D25BF3" w:rsidP="00D25BF3">
      <w:pPr>
        <w:pStyle w:val="ListParagraph"/>
        <w:numPr>
          <w:ilvl w:val="2"/>
          <w:numId w:val="15"/>
        </w:numPr>
      </w:pPr>
      <w:r>
        <w:t xml:space="preserve">Other core </w:t>
      </w:r>
      <w:r w:rsidR="00DF46EB">
        <w:t xml:space="preserve">criteria </w:t>
      </w:r>
      <w:r>
        <w:t xml:space="preserve">components would also include </w:t>
      </w:r>
      <w:r w:rsidR="00A86364">
        <w:t>DEI</w:t>
      </w:r>
      <w:r>
        <w:t xml:space="preserve"> review as needed</w:t>
      </w:r>
    </w:p>
    <w:p w14:paraId="37252F76" w14:textId="4F0BA845" w:rsidR="00D25BF3" w:rsidRDefault="00D25BF3" w:rsidP="00D25BF3">
      <w:pPr>
        <w:pStyle w:val="ListParagraph"/>
        <w:numPr>
          <w:ilvl w:val="1"/>
          <w:numId w:val="15"/>
        </w:numPr>
      </w:pPr>
      <w:r>
        <w:t>How important is Program Review information to HLC?</w:t>
      </w:r>
    </w:p>
    <w:p w14:paraId="0D434AF7" w14:textId="47C42F85" w:rsidR="00D25BF3" w:rsidRDefault="00D25BF3" w:rsidP="00D25BF3">
      <w:pPr>
        <w:pStyle w:val="ListParagraph"/>
        <w:numPr>
          <w:ilvl w:val="2"/>
          <w:numId w:val="15"/>
        </w:numPr>
      </w:pPr>
      <w:r>
        <w:t>Very, Criteria 4A is primarily program review</w:t>
      </w:r>
    </w:p>
    <w:p w14:paraId="4C5FCA39" w14:textId="53180002" w:rsidR="00D25BF3" w:rsidRDefault="00D25BF3" w:rsidP="00D25BF3">
      <w:pPr>
        <w:pStyle w:val="ListParagraph"/>
        <w:numPr>
          <w:ilvl w:val="2"/>
          <w:numId w:val="15"/>
        </w:numPr>
      </w:pPr>
      <w:r>
        <w:t>If the review group doesn’t see assessment and persistence information they dig deeper</w:t>
      </w:r>
    </w:p>
    <w:p w14:paraId="5AC53BC5" w14:textId="60EB6AA5" w:rsidR="00D25BF3" w:rsidRDefault="00D25BF3" w:rsidP="00D25BF3">
      <w:pPr>
        <w:pStyle w:val="ListParagraph"/>
        <w:numPr>
          <w:ilvl w:val="3"/>
          <w:numId w:val="15"/>
        </w:numPr>
      </w:pPr>
      <w:r>
        <w:t xml:space="preserve">Room for improvement is </w:t>
      </w:r>
      <w:r w:rsidR="00DF46EB">
        <w:t>acceptable</w:t>
      </w:r>
      <w:r>
        <w:t>, no one needs to be perfect</w:t>
      </w:r>
    </w:p>
    <w:p w14:paraId="6C3885C7" w14:textId="42671BA0" w:rsidR="00D25BF3" w:rsidRDefault="00D25BF3" w:rsidP="00D25BF3">
      <w:pPr>
        <w:pStyle w:val="ListParagraph"/>
        <w:numPr>
          <w:ilvl w:val="3"/>
          <w:numId w:val="15"/>
        </w:numPr>
      </w:pPr>
      <w:r>
        <w:t>However there must be a process</w:t>
      </w:r>
      <w:r w:rsidR="003A0005">
        <w:t xml:space="preserve"> that is being followed</w:t>
      </w:r>
      <w:r>
        <w:t xml:space="preserve"> that shows a commitment to student success</w:t>
      </w:r>
    </w:p>
    <w:p w14:paraId="089BA13F" w14:textId="3735351E" w:rsidR="00DF46EB" w:rsidRDefault="000E367F" w:rsidP="00DF46EB">
      <w:pPr>
        <w:pStyle w:val="ListParagraph"/>
        <w:numPr>
          <w:ilvl w:val="1"/>
          <w:numId w:val="15"/>
        </w:numPr>
      </w:pPr>
      <w:r>
        <w:lastRenderedPageBreak/>
        <w:t>Does the</w:t>
      </w:r>
      <w:r w:rsidR="00184E66">
        <w:t xml:space="preserve"> HLC</w:t>
      </w:r>
      <w:r>
        <w:t xml:space="preserve"> review team look differently at </w:t>
      </w:r>
      <w:r w:rsidR="00DF46EB">
        <w:t>PROE</w:t>
      </w:r>
      <w:r>
        <w:t xml:space="preserve"> programs (</w:t>
      </w:r>
      <w:r w:rsidR="00DF46EB">
        <w:t>occupational</w:t>
      </w:r>
      <w:r>
        <w:t xml:space="preserve"> education</w:t>
      </w:r>
      <w:r w:rsidR="00DF46EB">
        <w:t xml:space="preserve"> programs</w:t>
      </w:r>
      <w:r>
        <w:t xml:space="preserve"> through Perkins grant funding) than others? Specifically in awards information. Recent change to LCC Program Review made it no longer mandatory for non PROE programs to answer questions related to looking at award data.</w:t>
      </w:r>
    </w:p>
    <w:p w14:paraId="0DA635A5" w14:textId="7DD4D616" w:rsidR="000E367F" w:rsidRDefault="000E367F" w:rsidP="000E367F">
      <w:pPr>
        <w:pStyle w:val="ListParagraph"/>
        <w:numPr>
          <w:ilvl w:val="2"/>
          <w:numId w:val="15"/>
        </w:numPr>
      </w:pPr>
      <w:r>
        <w:t>HLC wants to see persistence, completion and retention across the board, some of that would be presented as award information</w:t>
      </w:r>
    </w:p>
    <w:p w14:paraId="46986792" w14:textId="77777777" w:rsidR="00A86364" w:rsidRDefault="000E367F" w:rsidP="000E367F">
      <w:pPr>
        <w:pStyle w:val="ListParagraph"/>
        <w:numPr>
          <w:ilvl w:val="2"/>
          <w:numId w:val="15"/>
        </w:numPr>
      </w:pPr>
      <w:r>
        <w:t xml:space="preserve">The main reason many colleges get accredited with HLC is to be able to </w:t>
      </w:r>
      <w:r w:rsidR="002559F1">
        <w:t>receive</w:t>
      </w:r>
      <w:r>
        <w:t xml:space="preserve"> financial aid (Title 4 funds and other) for their students</w:t>
      </w:r>
    </w:p>
    <w:p w14:paraId="6AD7508E" w14:textId="6A57D522" w:rsidR="000E367F" w:rsidRDefault="000E367F" w:rsidP="00A86364">
      <w:pPr>
        <w:pStyle w:val="ListParagraph"/>
        <w:numPr>
          <w:ilvl w:val="3"/>
          <w:numId w:val="15"/>
        </w:numPr>
      </w:pPr>
      <w:r>
        <w:t>The government wants to be sure that money is well spent.</w:t>
      </w:r>
      <w:r w:rsidR="002559F1">
        <w:t xml:space="preserve"> Therefore all courses will need to show their worth, whether they are general ed or occupational</w:t>
      </w:r>
    </w:p>
    <w:p w14:paraId="4A7026BF" w14:textId="5B22CA47" w:rsidR="002559F1" w:rsidRDefault="002559F1" w:rsidP="000E367F">
      <w:pPr>
        <w:pStyle w:val="ListParagraph"/>
        <w:numPr>
          <w:ilvl w:val="2"/>
          <w:numId w:val="15"/>
        </w:numPr>
      </w:pPr>
      <w:r>
        <w:t>Cheryl, from AA is at the meeting and noted that they can revisit this decision at the next during the next annual meeting to review the Program Review process itself</w:t>
      </w:r>
    </w:p>
    <w:p w14:paraId="0EF1EF22" w14:textId="6AB8B643" w:rsidR="002559F1" w:rsidRDefault="002559F1" w:rsidP="002559F1">
      <w:pPr>
        <w:pStyle w:val="ListParagraph"/>
        <w:numPr>
          <w:ilvl w:val="3"/>
          <w:numId w:val="15"/>
        </w:numPr>
      </w:pPr>
      <w:r>
        <w:t>The change had been made due to faculty input</w:t>
      </w:r>
      <w:r w:rsidR="00A86364">
        <w:t xml:space="preserve">, </w:t>
      </w:r>
      <w:r>
        <w:t xml:space="preserve">they felt overwhelmed with information and it was hoped this would reduce some of what they had </w:t>
      </w:r>
      <w:r w:rsidR="00A86364">
        <w:t>to review</w:t>
      </w:r>
    </w:p>
    <w:p w14:paraId="263FEC1A" w14:textId="77777777" w:rsidR="00A86364" w:rsidRDefault="004A41AD" w:rsidP="004A41AD">
      <w:pPr>
        <w:pStyle w:val="ListParagraph"/>
        <w:numPr>
          <w:ilvl w:val="2"/>
          <w:numId w:val="15"/>
        </w:numPr>
      </w:pPr>
      <w:r>
        <w:t xml:space="preserve">Again, the peer review team of HLC has a lot of maneuverability when looking at a program </w:t>
      </w:r>
    </w:p>
    <w:p w14:paraId="36363C42" w14:textId="77777777" w:rsidR="00A86364" w:rsidRDefault="004A41AD" w:rsidP="00A86364">
      <w:pPr>
        <w:pStyle w:val="ListParagraph"/>
        <w:numPr>
          <w:ilvl w:val="3"/>
          <w:numId w:val="15"/>
        </w:numPr>
      </w:pPr>
      <w:r>
        <w:t>The Assurance Statement is very important and dictates a lot of what the team looks at</w:t>
      </w:r>
    </w:p>
    <w:p w14:paraId="1329BFA7" w14:textId="2FFF3860" w:rsidR="004A41AD" w:rsidRDefault="004A41AD" w:rsidP="00A86364">
      <w:pPr>
        <w:pStyle w:val="ListParagraph"/>
        <w:numPr>
          <w:ilvl w:val="4"/>
          <w:numId w:val="15"/>
        </w:numPr>
      </w:pPr>
      <w:r>
        <w:t>Making sure institutions are living up to their claims, living their mission and vision</w:t>
      </w:r>
    </w:p>
    <w:p w14:paraId="635FEED3" w14:textId="0E06186B" w:rsidR="00184E66" w:rsidRDefault="004A41AD" w:rsidP="004A41AD">
      <w:pPr>
        <w:pStyle w:val="ListParagraph"/>
        <w:numPr>
          <w:ilvl w:val="3"/>
          <w:numId w:val="15"/>
        </w:numPr>
      </w:pPr>
      <w:r>
        <w:t xml:space="preserve">Therefore </w:t>
      </w:r>
      <w:r w:rsidR="005D27CC">
        <w:t xml:space="preserve">when reviewing programs will be looking at their whole package. </w:t>
      </w:r>
      <w:r w:rsidR="00184E66">
        <w:t xml:space="preserve">This helps stop </w:t>
      </w:r>
      <w:r w:rsidR="005D27CC">
        <w:t>college</w:t>
      </w:r>
      <w:r w:rsidR="00184E66">
        <w:t>’s from</w:t>
      </w:r>
      <w:r w:rsidR="005D27CC">
        <w:t xml:space="preserve"> “gam</w:t>
      </w:r>
      <w:r w:rsidR="00184E66">
        <w:t>ing</w:t>
      </w:r>
      <w:r w:rsidR="005D27CC">
        <w:t xml:space="preserve"> the system” </w:t>
      </w:r>
    </w:p>
    <w:p w14:paraId="109C2598" w14:textId="049CCA35" w:rsidR="004A41AD" w:rsidRDefault="00184E66" w:rsidP="00184E66">
      <w:pPr>
        <w:pStyle w:val="ListParagraph"/>
        <w:numPr>
          <w:ilvl w:val="4"/>
          <w:numId w:val="15"/>
        </w:numPr>
      </w:pPr>
      <w:r>
        <w:t>For example if stated specifically that HLC would be looking at awards a course might start inflating</w:t>
      </w:r>
      <w:r w:rsidR="005D27CC">
        <w:t xml:space="preserve"> grades</w:t>
      </w:r>
      <w:r>
        <w:t xml:space="preserve"> to increase completion</w:t>
      </w:r>
    </w:p>
    <w:p w14:paraId="6B2FE4E4" w14:textId="3BDCBDDC" w:rsidR="00184E66" w:rsidRDefault="00184E66" w:rsidP="00184E66">
      <w:pPr>
        <w:pStyle w:val="ListParagraph"/>
        <w:numPr>
          <w:ilvl w:val="1"/>
          <w:numId w:val="15"/>
        </w:numPr>
      </w:pPr>
      <w:r>
        <w:t xml:space="preserve">Please give an example of what type of data is adequate to show academic integrity? </w:t>
      </w:r>
    </w:p>
    <w:p w14:paraId="7AF71897" w14:textId="7B363AB7" w:rsidR="00184E66" w:rsidRDefault="00184E66" w:rsidP="00184E66">
      <w:pPr>
        <w:pStyle w:val="ListParagraph"/>
        <w:numPr>
          <w:ilvl w:val="2"/>
          <w:numId w:val="15"/>
        </w:numPr>
      </w:pPr>
      <w:r>
        <w:t>An outline of a lesson plan</w:t>
      </w:r>
    </w:p>
    <w:p w14:paraId="6A778B7E" w14:textId="12241B67" w:rsidR="00184E66" w:rsidRDefault="00184E66" w:rsidP="00184E66">
      <w:pPr>
        <w:pStyle w:val="ListParagraph"/>
        <w:numPr>
          <w:ilvl w:val="2"/>
          <w:numId w:val="15"/>
        </w:numPr>
      </w:pPr>
      <w:r>
        <w:t xml:space="preserve">In the case of the library </w:t>
      </w:r>
      <w:r w:rsidR="00A86364">
        <w:t>scenario</w:t>
      </w:r>
      <w:r>
        <w:t xml:space="preserve"> Mark had </w:t>
      </w:r>
      <w:r w:rsidR="00A86364">
        <w:t>shared</w:t>
      </w:r>
      <w:r>
        <w:t xml:space="preserve"> a Library website research guide would help when reviewing that area</w:t>
      </w:r>
    </w:p>
    <w:p w14:paraId="779A2C81" w14:textId="0B387210" w:rsidR="00184E66" w:rsidRDefault="00184E66" w:rsidP="00184E66">
      <w:pPr>
        <w:pStyle w:val="ListParagraph"/>
        <w:numPr>
          <w:ilvl w:val="2"/>
          <w:numId w:val="15"/>
        </w:numPr>
      </w:pPr>
      <w:r>
        <w:t>Not necessarily just assessment results from student work</w:t>
      </w:r>
    </w:p>
    <w:p w14:paraId="73E513AA" w14:textId="6FD2E1A5" w:rsidR="008F365A" w:rsidRDefault="008F365A" w:rsidP="008F365A">
      <w:pPr>
        <w:pStyle w:val="Heading2"/>
      </w:pPr>
      <w:r>
        <w:t>Workgroup</w:t>
      </w:r>
      <w:r w:rsidR="00C96C5A">
        <w:t xml:space="preserve"> Discussions</w:t>
      </w:r>
    </w:p>
    <w:p w14:paraId="5A7D617B" w14:textId="08276C48" w:rsidR="00C96C5A" w:rsidRPr="00C96C5A" w:rsidRDefault="00C96C5A" w:rsidP="00C96C5A">
      <w:pPr>
        <w:pStyle w:val="ListParagraph"/>
        <w:numPr>
          <w:ilvl w:val="0"/>
          <w:numId w:val="18"/>
        </w:numPr>
        <w:spacing w:line="256" w:lineRule="auto"/>
        <w:rPr>
          <w:rFonts w:asciiTheme="minorHAnsi" w:hAnsiTheme="minorHAnsi"/>
        </w:rPr>
      </w:pPr>
      <w:r>
        <w:t>15 minute breakout session while folks went to their workgroups to relook at goals written during the last CASL meeting and brainstorm how CASL can be supportive to faculty colleagues</w:t>
      </w:r>
    </w:p>
    <w:p w14:paraId="6B71CB03" w14:textId="376CD591" w:rsidR="00C96C5A" w:rsidRDefault="00C96C5A" w:rsidP="00C96C5A">
      <w:pPr>
        <w:pStyle w:val="ListParagraph"/>
        <w:numPr>
          <w:ilvl w:val="1"/>
          <w:numId w:val="18"/>
        </w:numPr>
        <w:spacing w:line="256" w:lineRule="auto"/>
        <w:rPr>
          <w:rFonts w:asciiTheme="minorHAnsi" w:hAnsiTheme="minorHAnsi"/>
        </w:rPr>
      </w:pPr>
      <w:r>
        <w:rPr>
          <w:rFonts w:asciiTheme="minorHAnsi" w:hAnsiTheme="minorHAnsi"/>
        </w:rPr>
        <w:t>Think about time spent here and how each member might function as a liaison between CASL and their programs</w:t>
      </w:r>
    </w:p>
    <w:p w14:paraId="6549FC7B" w14:textId="4A3D3F70" w:rsidR="00C96C5A" w:rsidRDefault="00C96C5A" w:rsidP="00C96C5A">
      <w:pPr>
        <w:pStyle w:val="ListParagraph"/>
        <w:numPr>
          <w:ilvl w:val="2"/>
          <w:numId w:val="18"/>
        </w:numPr>
        <w:spacing w:line="256" w:lineRule="auto"/>
        <w:rPr>
          <w:rFonts w:asciiTheme="minorHAnsi" w:hAnsiTheme="minorHAnsi"/>
        </w:rPr>
      </w:pPr>
      <w:r>
        <w:rPr>
          <w:rFonts w:asciiTheme="minorHAnsi" w:hAnsiTheme="minorHAnsi"/>
        </w:rPr>
        <w:t>At a course, program and institutional level</w:t>
      </w:r>
    </w:p>
    <w:p w14:paraId="2BE698B1" w14:textId="7C4F2F9D" w:rsidR="00C96C5A" w:rsidRDefault="009872CB" w:rsidP="00C96C5A">
      <w:pPr>
        <w:pStyle w:val="ListParagraph"/>
        <w:numPr>
          <w:ilvl w:val="0"/>
          <w:numId w:val="17"/>
        </w:numPr>
      </w:pPr>
      <w:r>
        <w:t>Blue Group plans on continuing looking at varied notes and comparing issues via email as needed.</w:t>
      </w:r>
    </w:p>
    <w:p w14:paraId="04E2A6AE" w14:textId="5335FB89" w:rsidR="009872CB" w:rsidRDefault="009872CB" w:rsidP="00C96C5A">
      <w:pPr>
        <w:pStyle w:val="ListParagraph"/>
        <w:numPr>
          <w:ilvl w:val="0"/>
          <w:numId w:val="17"/>
        </w:numPr>
      </w:pPr>
      <w:r>
        <w:t>Research Group plans on reevaluating some of their topics which seem to be overlapping with work eLearning is already doing.</w:t>
      </w:r>
    </w:p>
    <w:p w14:paraId="58FF91E2" w14:textId="665F8D06" w:rsidR="009872CB" w:rsidRDefault="009872CB" w:rsidP="00C96C5A">
      <w:pPr>
        <w:pStyle w:val="ListParagraph"/>
        <w:numPr>
          <w:ilvl w:val="0"/>
          <w:numId w:val="17"/>
        </w:numPr>
      </w:pPr>
      <w:r>
        <w:t>Assessment Learning Lab Group might shift the focus from a single course to the entire program as well as researching what others in the field have done regarding creating equitable outcomes.</w:t>
      </w:r>
    </w:p>
    <w:p w14:paraId="7AB21783" w14:textId="5CD70751" w:rsidR="009872CB" w:rsidRDefault="009872CB" w:rsidP="009872CB">
      <w:pPr>
        <w:pStyle w:val="ListParagraph"/>
        <w:numPr>
          <w:ilvl w:val="1"/>
          <w:numId w:val="17"/>
        </w:numPr>
      </w:pPr>
      <w:r>
        <w:t>This might dovetail with some work the Research Group is doing</w:t>
      </w:r>
    </w:p>
    <w:p w14:paraId="40409CDF" w14:textId="2E0A3AE3" w:rsidR="009872CB" w:rsidRDefault="00246613" w:rsidP="00246613">
      <w:pPr>
        <w:pStyle w:val="ListParagraph"/>
        <w:numPr>
          <w:ilvl w:val="1"/>
          <w:numId w:val="17"/>
        </w:numPr>
      </w:pPr>
      <w:r>
        <w:t>Need to determine best way to share this knowledge with faculty</w:t>
      </w:r>
    </w:p>
    <w:p w14:paraId="228F853D" w14:textId="658D2553" w:rsidR="00246613" w:rsidRDefault="00246613" w:rsidP="00246613">
      <w:pPr>
        <w:pStyle w:val="ListParagraph"/>
        <w:numPr>
          <w:ilvl w:val="0"/>
          <w:numId w:val="17"/>
        </w:numPr>
      </w:pPr>
      <w:r>
        <w:lastRenderedPageBreak/>
        <w:t>Should we revisit student learning outcomes (SLOs)?</w:t>
      </w:r>
    </w:p>
    <w:p w14:paraId="62DBAFF2" w14:textId="43E1DBC4" w:rsidR="00246613" w:rsidRDefault="00246613" w:rsidP="00246613">
      <w:pPr>
        <w:pStyle w:val="ListParagraph"/>
        <w:numPr>
          <w:ilvl w:val="1"/>
          <w:numId w:val="17"/>
        </w:numPr>
      </w:pPr>
      <w:r>
        <w:t>Some fundamental elements of a program, and/or the field they are teaching, remain constant which means the SLOs are fundamentally the same but the methodology of teaching them to students might change</w:t>
      </w:r>
    </w:p>
    <w:p w14:paraId="55A4A9E8" w14:textId="25CB8B24" w:rsidR="00246613" w:rsidRDefault="00246613" w:rsidP="00246613">
      <w:pPr>
        <w:pStyle w:val="ListParagraph"/>
        <w:numPr>
          <w:ilvl w:val="1"/>
          <w:numId w:val="17"/>
        </w:numPr>
      </w:pPr>
      <w:r>
        <w:t>Assessment can lead to changes in pedagogy</w:t>
      </w:r>
    </w:p>
    <w:p w14:paraId="0CA5B12F" w14:textId="697E2677" w:rsidR="00246613" w:rsidRDefault="00246613" w:rsidP="00246613">
      <w:pPr>
        <w:pStyle w:val="ListParagraph"/>
        <w:numPr>
          <w:ilvl w:val="1"/>
          <w:numId w:val="17"/>
        </w:numPr>
      </w:pPr>
      <w:r>
        <w:t xml:space="preserve">SLOs might not be the issue in an equity gap, </w:t>
      </w:r>
      <w:r w:rsidR="00747666">
        <w:t xml:space="preserve">it could be </w:t>
      </w:r>
      <w:r>
        <w:t xml:space="preserve">the faulty pedagogy </w:t>
      </w:r>
      <w:r w:rsidR="00747666">
        <w:t>that</w:t>
      </w:r>
      <w:r>
        <w:t xml:space="preserve"> needs to be changed</w:t>
      </w:r>
      <w:r w:rsidR="00747666">
        <w:t>, how a topic is approached</w:t>
      </w:r>
    </w:p>
    <w:p w14:paraId="27968217" w14:textId="2F4229A4" w:rsidR="00747666" w:rsidRDefault="00747666" w:rsidP="00747666">
      <w:pPr>
        <w:pStyle w:val="ListParagraph"/>
        <w:numPr>
          <w:ilvl w:val="2"/>
          <w:numId w:val="17"/>
        </w:numPr>
      </w:pPr>
      <w:r>
        <w:t>This is not to say all SLOs are inherently equitable, there might be inequitable SLOs</w:t>
      </w:r>
    </w:p>
    <w:p w14:paraId="18445365" w14:textId="2AE73E66" w:rsidR="00747666" w:rsidRDefault="00747666" w:rsidP="00747666">
      <w:pPr>
        <w:pStyle w:val="ListParagraph"/>
        <w:numPr>
          <w:ilvl w:val="1"/>
          <w:numId w:val="17"/>
        </w:numPr>
      </w:pPr>
      <w:r>
        <w:t>SLOs can also be interpreted differently from one point of time to another</w:t>
      </w:r>
    </w:p>
    <w:p w14:paraId="045192F2" w14:textId="6851DE1B" w:rsidR="00747666" w:rsidRDefault="00747666" w:rsidP="00747666">
      <w:pPr>
        <w:pStyle w:val="ListParagraph"/>
        <w:numPr>
          <w:ilvl w:val="2"/>
          <w:numId w:val="17"/>
        </w:numPr>
      </w:pPr>
      <w:r>
        <w:t>Example, history has something like “study significant events from the past” but our understanding of what is and isn’t significant has changed a lot and continues to change</w:t>
      </w:r>
    </w:p>
    <w:p w14:paraId="27C29FBB" w14:textId="4809AB54" w:rsidR="00747666" w:rsidRDefault="00101E5C" w:rsidP="00101E5C">
      <w:pPr>
        <w:pStyle w:val="ListParagraph"/>
        <w:numPr>
          <w:ilvl w:val="0"/>
          <w:numId w:val="17"/>
        </w:numPr>
      </w:pPr>
      <w:r>
        <w:t>Curriculum plays an equity role in promoting DEI as well.</w:t>
      </w:r>
    </w:p>
    <w:p w14:paraId="01F9D58E" w14:textId="1E13AFDB" w:rsidR="00101E5C" w:rsidRDefault="00101E5C" w:rsidP="00101E5C">
      <w:pPr>
        <w:pStyle w:val="ListParagraph"/>
        <w:numPr>
          <w:ilvl w:val="1"/>
          <w:numId w:val="17"/>
        </w:numPr>
      </w:pPr>
      <w:r>
        <w:t>For example in world literature it is important to not only have Shakespeare represented, there is a lot of indigenous literature that also needs to be represented</w:t>
      </w:r>
    </w:p>
    <w:p w14:paraId="744E1615" w14:textId="35FE9C2B" w:rsidR="00101E5C" w:rsidRDefault="00101E5C" w:rsidP="00101E5C">
      <w:pPr>
        <w:pStyle w:val="ListParagraph"/>
        <w:numPr>
          <w:ilvl w:val="2"/>
          <w:numId w:val="17"/>
        </w:numPr>
      </w:pPr>
      <w:r>
        <w:t>Western culture deserves to be studied but other cultures need to be studied too</w:t>
      </w:r>
    </w:p>
    <w:p w14:paraId="03B9F19F" w14:textId="2E497323" w:rsidR="00101E5C" w:rsidRDefault="0019275F" w:rsidP="00101E5C">
      <w:pPr>
        <w:pStyle w:val="ListParagraph"/>
        <w:numPr>
          <w:ilvl w:val="2"/>
          <w:numId w:val="17"/>
        </w:numPr>
      </w:pPr>
      <w:r>
        <w:t>For example the</w:t>
      </w:r>
      <w:r w:rsidR="00101E5C">
        <w:t xml:space="preserve"> book “Things Fall Apart” by </w:t>
      </w:r>
      <w:r>
        <w:t>Nigerian Author Chinua Achebe, which was first published in 1958 and depicts the European invasion of southeastern Nigeria during the late 19</w:t>
      </w:r>
      <w:r w:rsidRPr="0019275F">
        <w:rPr>
          <w:vertAlign w:val="superscript"/>
        </w:rPr>
        <w:t>th</w:t>
      </w:r>
      <w:r>
        <w:t xml:space="preserve"> century</w:t>
      </w:r>
    </w:p>
    <w:p w14:paraId="4F8C109D" w14:textId="77777777" w:rsidR="00101E5C" w:rsidRDefault="00101E5C" w:rsidP="0019275F">
      <w:pPr>
        <w:pStyle w:val="ListParagraph"/>
        <w:numPr>
          <w:ilvl w:val="2"/>
          <w:numId w:val="17"/>
        </w:numPr>
      </w:pPr>
      <w:r>
        <w:t>If teaching a Shakespeare course, could make it more equitable by spending time looking at how the cultures are being represented within the play</w:t>
      </w:r>
    </w:p>
    <w:p w14:paraId="07A94C26" w14:textId="7BDD5E87" w:rsidR="00101E5C" w:rsidRDefault="00101E5C" w:rsidP="0019275F">
      <w:pPr>
        <w:pStyle w:val="ListParagraph"/>
        <w:numPr>
          <w:ilvl w:val="3"/>
          <w:numId w:val="17"/>
        </w:numPr>
      </w:pPr>
      <w:r>
        <w:t>Examples Othello and The Tempest have some good diversity discussion potential</w:t>
      </w:r>
    </w:p>
    <w:p w14:paraId="76804C56" w14:textId="73B7E5BB" w:rsidR="0019275F" w:rsidRDefault="0019275F" w:rsidP="0019275F">
      <w:pPr>
        <w:pStyle w:val="ListParagraph"/>
        <w:numPr>
          <w:ilvl w:val="2"/>
          <w:numId w:val="17"/>
        </w:numPr>
      </w:pPr>
      <w:r>
        <w:t xml:space="preserve">Perhaps pursue a unit on European authors, a unit on </w:t>
      </w:r>
      <w:r w:rsidR="00A86364">
        <w:t>B</w:t>
      </w:r>
      <w:r>
        <w:t xml:space="preserve">lack authors, </w:t>
      </w:r>
      <w:r w:rsidR="00A86364">
        <w:t xml:space="preserve">and </w:t>
      </w:r>
      <w:r>
        <w:t xml:space="preserve">a unit on </w:t>
      </w:r>
      <w:r w:rsidR="00A86364">
        <w:t>N</w:t>
      </w:r>
      <w:r>
        <w:t>ative American authors</w:t>
      </w:r>
    </w:p>
    <w:p w14:paraId="43AC63F6" w14:textId="3F350A39" w:rsidR="0019275F" w:rsidRDefault="0019275F" w:rsidP="0019275F">
      <w:pPr>
        <w:pStyle w:val="ListParagraph"/>
        <w:numPr>
          <w:ilvl w:val="3"/>
          <w:numId w:val="17"/>
        </w:numPr>
      </w:pPr>
      <w:r>
        <w:t xml:space="preserve">No need to only have one diversity course  </w:t>
      </w:r>
    </w:p>
    <w:p w14:paraId="0CC2C96C" w14:textId="77777777" w:rsidR="00077E36" w:rsidRDefault="00101E5C" w:rsidP="0019275F">
      <w:pPr>
        <w:pStyle w:val="ListParagraph"/>
        <w:numPr>
          <w:ilvl w:val="1"/>
          <w:numId w:val="17"/>
        </w:numPr>
      </w:pPr>
      <w:r>
        <w:t xml:space="preserve">Need to make sure all students are given tools to enter </w:t>
      </w:r>
      <w:r w:rsidR="00077E36">
        <w:t>our</w:t>
      </w:r>
      <w:r>
        <w:t xml:space="preserve"> </w:t>
      </w:r>
      <w:r w:rsidR="00077E36">
        <w:t>multicultural society</w:t>
      </w:r>
      <w:r>
        <w:t xml:space="preserve"> and</w:t>
      </w:r>
      <w:r w:rsidR="00077E36">
        <w:t xml:space="preserve"> deal with, while hopefully </w:t>
      </w:r>
      <w:r>
        <w:t>enjoy</w:t>
      </w:r>
      <w:r w:rsidR="00077E36">
        <w:t>ing,</w:t>
      </w:r>
      <w:r>
        <w:t xml:space="preserve"> diversity</w:t>
      </w:r>
    </w:p>
    <w:p w14:paraId="5A451167" w14:textId="465CA33E" w:rsidR="00101E5C" w:rsidRDefault="00077E36" w:rsidP="00077E36">
      <w:pPr>
        <w:pStyle w:val="ListParagraph"/>
        <w:numPr>
          <w:ilvl w:val="2"/>
          <w:numId w:val="17"/>
        </w:numPr>
      </w:pPr>
      <w:r>
        <w:t>This runs across all curriculums</w:t>
      </w:r>
    </w:p>
    <w:p w14:paraId="2A874CA5" w14:textId="21B71778" w:rsidR="00663139" w:rsidRDefault="00077E36" w:rsidP="00663139">
      <w:pPr>
        <w:pStyle w:val="ListParagraph"/>
        <w:numPr>
          <w:ilvl w:val="0"/>
          <w:numId w:val="17"/>
        </w:numPr>
      </w:pPr>
      <w:r>
        <w:t>Important to continue this discussion both in the large group and the smaller workgroups.</w:t>
      </w:r>
    </w:p>
    <w:p w14:paraId="080C1B88" w14:textId="0696F005" w:rsidR="00077E36" w:rsidRDefault="00077E36" w:rsidP="00077E36">
      <w:pPr>
        <w:pStyle w:val="ListParagraph"/>
        <w:numPr>
          <w:ilvl w:val="1"/>
          <w:numId w:val="17"/>
        </w:numPr>
      </w:pPr>
      <w:r>
        <w:t>What do we mean when we talk about culture and diversity?</w:t>
      </w:r>
    </w:p>
    <w:p w14:paraId="67829D25" w14:textId="49420FB5" w:rsidR="00077E36" w:rsidRPr="00C96C5A" w:rsidRDefault="00077E36" w:rsidP="00077E36">
      <w:pPr>
        <w:pStyle w:val="ListParagraph"/>
        <w:numPr>
          <w:ilvl w:val="1"/>
          <w:numId w:val="17"/>
        </w:numPr>
      </w:pPr>
      <w:r>
        <w:t>Can we arrive at usable definitions to take to other faculty groups?</w:t>
      </w:r>
    </w:p>
    <w:p w14:paraId="7A3A2EC0" w14:textId="7D77F915" w:rsidR="006C587D" w:rsidRDefault="006C587D" w:rsidP="00A23288">
      <w:pPr>
        <w:pStyle w:val="Heading2"/>
      </w:pPr>
      <w:r>
        <w:t>New Business &amp; Future Agenda Items</w:t>
      </w:r>
    </w:p>
    <w:p w14:paraId="6A67C2DC" w14:textId="62E8F012" w:rsidR="0087007E" w:rsidRDefault="00077E36" w:rsidP="00077E36">
      <w:pPr>
        <w:pStyle w:val="ListParagraph"/>
        <w:numPr>
          <w:ilvl w:val="0"/>
          <w:numId w:val="19"/>
        </w:numPr>
      </w:pPr>
      <w:r>
        <w:t>None</w:t>
      </w:r>
    </w:p>
    <w:p w14:paraId="63FA0498" w14:textId="7E7525D5" w:rsidR="00077E36" w:rsidRPr="00077E36" w:rsidRDefault="00F33B19" w:rsidP="00077E36">
      <w:pPr>
        <w:pStyle w:val="Heading2"/>
        <w:rPr>
          <w:rStyle w:val="normaltextrun"/>
        </w:rPr>
      </w:pPr>
      <w:r w:rsidRPr="00466E3B">
        <w:rPr>
          <w:rStyle w:val="normaltextrun"/>
        </w:rPr>
        <w:t xml:space="preserve">Meeting </w:t>
      </w:r>
      <w:r w:rsidR="00077E36">
        <w:rPr>
          <w:rStyle w:val="normaltextrun"/>
        </w:rPr>
        <w:t xml:space="preserve"> Adjourned at 1:55pm</w:t>
      </w:r>
    </w:p>
    <w:p w14:paraId="5FE7D1BE" w14:textId="0661760A" w:rsidR="009E194C" w:rsidRPr="000E4765" w:rsidRDefault="0056575A" w:rsidP="00FB1A28">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meeting </w:t>
      </w:r>
      <w:r w:rsidR="007A5854" w:rsidRPr="000E4765">
        <w:rPr>
          <w:rStyle w:val="normaltextrun"/>
          <w:rFonts w:eastAsiaTheme="majorEastAsia" w:cs="Calibri"/>
          <w:szCs w:val="24"/>
        </w:rPr>
        <w:t xml:space="preserve">Friday, </w:t>
      </w:r>
      <w:r w:rsidR="0087007E">
        <w:rPr>
          <w:rStyle w:val="normaltextrun"/>
          <w:rFonts w:eastAsiaTheme="majorEastAsia" w:cs="Calibri"/>
          <w:szCs w:val="24"/>
        </w:rPr>
        <w:t xml:space="preserve">January </w:t>
      </w:r>
      <w:r w:rsidR="008F365A">
        <w:rPr>
          <w:rStyle w:val="normaltextrun"/>
          <w:rFonts w:eastAsiaTheme="majorEastAsia" w:cs="Calibri"/>
          <w:szCs w:val="24"/>
        </w:rPr>
        <w:t>28</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0E4765" w:rsidRDefault="000E4765" w:rsidP="000E4765">
      <w:pPr>
        <w:pStyle w:val="ListParagraph"/>
        <w:spacing w:after="0"/>
        <w:textAlignment w:val="baseline"/>
        <w:rPr>
          <w:rFonts w:cs="Calibri"/>
          <w:sz w:val="22"/>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bookmarkStart w:id="0" w:name="_GoBack"/>
      <w:bookmarkEnd w:id="0"/>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47D05E25" w14:textId="1D4EBC02"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sectPr w:rsidR="008E69ED" w:rsidRPr="00DE6D50" w:rsidSect="002D7179">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F857" w14:textId="77777777" w:rsidR="0040295E" w:rsidRDefault="0040295E" w:rsidP="00D76A8A">
      <w:pPr>
        <w:spacing w:after="0" w:line="240" w:lineRule="auto"/>
      </w:pPr>
      <w:r>
        <w:separator/>
      </w:r>
    </w:p>
  </w:endnote>
  <w:endnote w:type="continuationSeparator" w:id="0">
    <w:p w14:paraId="150063BE" w14:textId="77777777" w:rsidR="0040295E" w:rsidRDefault="004029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4AA26A3B" w:rsidR="00616A2B" w:rsidRDefault="00616A2B" w:rsidP="00551031">
        <w:pPr>
          <w:pStyle w:val="Footer"/>
          <w:jc w:val="right"/>
        </w:pPr>
        <w:r>
          <w:fldChar w:fldCharType="begin"/>
        </w:r>
        <w:r>
          <w:instrText xml:space="preserve"> PAGE   \* MERGEFORMAT </w:instrText>
        </w:r>
        <w:r>
          <w:fldChar w:fldCharType="separate"/>
        </w:r>
        <w:r w:rsidR="001C05B7">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B9767" w14:textId="77777777" w:rsidR="0040295E" w:rsidRDefault="0040295E" w:rsidP="00D76A8A">
      <w:pPr>
        <w:spacing w:after="0" w:line="240" w:lineRule="auto"/>
      </w:pPr>
      <w:r>
        <w:separator/>
      </w:r>
    </w:p>
  </w:footnote>
  <w:footnote w:type="continuationSeparator" w:id="0">
    <w:p w14:paraId="6AD224DC" w14:textId="77777777" w:rsidR="0040295E" w:rsidRDefault="004029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BE3"/>
    <w:multiLevelType w:val="hybridMultilevel"/>
    <w:tmpl w:val="64AC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1161"/>
    <w:multiLevelType w:val="hybridMultilevel"/>
    <w:tmpl w:val="D62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6470FB"/>
    <w:multiLevelType w:val="hybridMultilevel"/>
    <w:tmpl w:val="2C6C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45633"/>
    <w:multiLevelType w:val="hybridMultilevel"/>
    <w:tmpl w:val="6E9C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C6DED"/>
    <w:multiLevelType w:val="hybridMultilevel"/>
    <w:tmpl w:val="CE5C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05516"/>
    <w:multiLevelType w:val="hybridMultilevel"/>
    <w:tmpl w:val="E3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616C5"/>
    <w:multiLevelType w:val="hybridMultilevel"/>
    <w:tmpl w:val="6BE6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019FE"/>
    <w:multiLevelType w:val="hybridMultilevel"/>
    <w:tmpl w:val="0D46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F845B2"/>
    <w:multiLevelType w:val="hybridMultilevel"/>
    <w:tmpl w:val="EF9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D25C0"/>
    <w:multiLevelType w:val="hybridMultilevel"/>
    <w:tmpl w:val="CB44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16F16"/>
    <w:multiLevelType w:val="hybridMultilevel"/>
    <w:tmpl w:val="C116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EF1E23"/>
    <w:multiLevelType w:val="hybridMultilevel"/>
    <w:tmpl w:val="CC1A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E294F"/>
    <w:multiLevelType w:val="hybridMultilevel"/>
    <w:tmpl w:val="89AE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5"/>
  </w:num>
  <w:num w:numId="4">
    <w:abstractNumId w:val="11"/>
  </w:num>
  <w:num w:numId="5">
    <w:abstractNumId w:val="3"/>
  </w:num>
  <w:num w:numId="6">
    <w:abstractNumId w:val="6"/>
  </w:num>
  <w:num w:numId="7">
    <w:abstractNumId w:val="0"/>
  </w:num>
  <w:num w:numId="8">
    <w:abstractNumId w:val="10"/>
  </w:num>
  <w:num w:numId="9">
    <w:abstractNumId w:val="13"/>
  </w:num>
  <w:num w:numId="10">
    <w:abstractNumId w:val="9"/>
  </w:num>
  <w:num w:numId="11">
    <w:abstractNumId w:val="15"/>
  </w:num>
  <w:num w:numId="12">
    <w:abstractNumId w:val="14"/>
  </w:num>
  <w:num w:numId="13">
    <w:abstractNumId w:val="8"/>
  </w:num>
  <w:num w:numId="14">
    <w:abstractNumId w:val="16"/>
  </w:num>
  <w:num w:numId="15">
    <w:abstractNumId w:val="17"/>
  </w:num>
  <w:num w:numId="16">
    <w:abstractNumId w:val="2"/>
  </w:num>
  <w:num w:numId="17">
    <w:abstractNumId w:val="7"/>
  </w:num>
  <w:num w:numId="18">
    <w:abstractNumId w:val="1"/>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readOnly" w:enforcement="1" w:cryptProviderType="rsaAES" w:cryptAlgorithmClass="hash" w:cryptAlgorithmType="typeAny" w:cryptAlgorithmSid="14" w:cryptSpinCount="100000" w:hash="lUUDZK+pUwu3rlxf7iytEt5y924eQu+yV/AkLPOZIPmrYTTRQhIO1i4GFUNbNGVfLt+v80cOeC7KcgH6VlJttw==" w:salt="UC9NgCvUD0JXGlxzfJc1dQ=="/>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67BD"/>
    <w:rsid w:val="00040804"/>
    <w:rsid w:val="0004248D"/>
    <w:rsid w:val="000446BD"/>
    <w:rsid w:val="00044CDA"/>
    <w:rsid w:val="00046F92"/>
    <w:rsid w:val="0004782A"/>
    <w:rsid w:val="00047D11"/>
    <w:rsid w:val="0005125A"/>
    <w:rsid w:val="000518F1"/>
    <w:rsid w:val="000549E4"/>
    <w:rsid w:val="00055286"/>
    <w:rsid w:val="00055314"/>
    <w:rsid w:val="000554FF"/>
    <w:rsid w:val="00056046"/>
    <w:rsid w:val="00056169"/>
    <w:rsid w:val="0005720F"/>
    <w:rsid w:val="0006044A"/>
    <w:rsid w:val="0006227B"/>
    <w:rsid w:val="000627D5"/>
    <w:rsid w:val="00062F6B"/>
    <w:rsid w:val="00064154"/>
    <w:rsid w:val="00064E84"/>
    <w:rsid w:val="0006691B"/>
    <w:rsid w:val="00072825"/>
    <w:rsid w:val="00074DD7"/>
    <w:rsid w:val="00075D5A"/>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262C"/>
    <w:rsid w:val="00105ADE"/>
    <w:rsid w:val="00106438"/>
    <w:rsid w:val="00107DD7"/>
    <w:rsid w:val="00116C73"/>
    <w:rsid w:val="001172CD"/>
    <w:rsid w:val="00117F09"/>
    <w:rsid w:val="00120806"/>
    <w:rsid w:val="00124401"/>
    <w:rsid w:val="00126203"/>
    <w:rsid w:val="0012656A"/>
    <w:rsid w:val="001309CF"/>
    <w:rsid w:val="00131493"/>
    <w:rsid w:val="00142328"/>
    <w:rsid w:val="001423D0"/>
    <w:rsid w:val="00143DDD"/>
    <w:rsid w:val="00144782"/>
    <w:rsid w:val="00144E34"/>
    <w:rsid w:val="00147CA9"/>
    <w:rsid w:val="001521C9"/>
    <w:rsid w:val="001534C8"/>
    <w:rsid w:val="0015396B"/>
    <w:rsid w:val="00153BCE"/>
    <w:rsid w:val="0015768B"/>
    <w:rsid w:val="00161BAB"/>
    <w:rsid w:val="00163043"/>
    <w:rsid w:val="00164351"/>
    <w:rsid w:val="00165B57"/>
    <w:rsid w:val="00173508"/>
    <w:rsid w:val="0017613B"/>
    <w:rsid w:val="001763A4"/>
    <w:rsid w:val="00177674"/>
    <w:rsid w:val="001812CF"/>
    <w:rsid w:val="00182BE3"/>
    <w:rsid w:val="0018338C"/>
    <w:rsid w:val="001844EF"/>
    <w:rsid w:val="00184E66"/>
    <w:rsid w:val="00186ADF"/>
    <w:rsid w:val="00187D0A"/>
    <w:rsid w:val="00191AB6"/>
    <w:rsid w:val="0019275F"/>
    <w:rsid w:val="00192EAD"/>
    <w:rsid w:val="001955C5"/>
    <w:rsid w:val="0019694A"/>
    <w:rsid w:val="001A3429"/>
    <w:rsid w:val="001A3831"/>
    <w:rsid w:val="001B2024"/>
    <w:rsid w:val="001B4205"/>
    <w:rsid w:val="001B4296"/>
    <w:rsid w:val="001C05B7"/>
    <w:rsid w:val="001C3236"/>
    <w:rsid w:val="001C5E73"/>
    <w:rsid w:val="001C78F6"/>
    <w:rsid w:val="001C7BF2"/>
    <w:rsid w:val="001D06C7"/>
    <w:rsid w:val="001D1584"/>
    <w:rsid w:val="001D2690"/>
    <w:rsid w:val="001D362C"/>
    <w:rsid w:val="001D372F"/>
    <w:rsid w:val="001D7CAA"/>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6595"/>
    <w:rsid w:val="00230AC2"/>
    <w:rsid w:val="0023264F"/>
    <w:rsid w:val="0023282B"/>
    <w:rsid w:val="002342FC"/>
    <w:rsid w:val="00237DB7"/>
    <w:rsid w:val="0024033B"/>
    <w:rsid w:val="00240C6F"/>
    <w:rsid w:val="00242C54"/>
    <w:rsid w:val="00246613"/>
    <w:rsid w:val="002472B9"/>
    <w:rsid w:val="0024730B"/>
    <w:rsid w:val="0025267E"/>
    <w:rsid w:val="002559F1"/>
    <w:rsid w:val="0025612F"/>
    <w:rsid w:val="002569FB"/>
    <w:rsid w:val="00261300"/>
    <w:rsid w:val="00263C5A"/>
    <w:rsid w:val="002649CE"/>
    <w:rsid w:val="00266EBF"/>
    <w:rsid w:val="00267EA8"/>
    <w:rsid w:val="0027109A"/>
    <w:rsid w:val="002712DA"/>
    <w:rsid w:val="00272047"/>
    <w:rsid w:val="00273565"/>
    <w:rsid w:val="00281CBE"/>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A47"/>
    <w:rsid w:val="002C7DA7"/>
    <w:rsid w:val="002C7E40"/>
    <w:rsid w:val="002D1D7C"/>
    <w:rsid w:val="002D2F47"/>
    <w:rsid w:val="002D3F91"/>
    <w:rsid w:val="002D658F"/>
    <w:rsid w:val="002D67E2"/>
    <w:rsid w:val="002D7179"/>
    <w:rsid w:val="002E4187"/>
    <w:rsid w:val="002E63C7"/>
    <w:rsid w:val="002E6E0E"/>
    <w:rsid w:val="002F06C0"/>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3072D"/>
    <w:rsid w:val="0033178F"/>
    <w:rsid w:val="00332A64"/>
    <w:rsid w:val="003348FA"/>
    <w:rsid w:val="00340661"/>
    <w:rsid w:val="003413C4"/>
    <w:rsid w:val="00341588"/>
    <w:rsid w:val="00341AE0"/>
    <w:rsid w:val="003420E4"/>
    <w:rsid w:val="00342E4D"/>
    <w:rsid w:val="00343838"/>
    <w:rsid w:val="00344729"/>
    <w:rsid w:val="00347371"/>
    <w:rsid w:val="00347EDA"/>
    <w:rsid w:val="00350998"/>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D09"/>
    <w:rsid w:val="00395198"/>
    <w:rsid w:val="003958FF"/>
    <w:rsid w:val="00396B0F"/>
    <w:rsid w:val="00396DE6"/>
    <w:rsid w:val="0039790A"/>
    <w:rsid w:val="00397B1F"/>
    <w:rsid w:val="003A0005"/>
    <w:rsid w:val="003A189E"/>
    <w:rsid w:val="003A7566"/>
    <w:rsid w:val="003B2B0D"/>
    <w:rsid w:val="003C06F1"/>
    <w:rsid w:val="003C189D"/>
    <w:rsid w:val="003C23E8"/>
    <w:rsid w:val="003C385B"/>
    <w:rsid w:val="003C5791"/>
    <w:rsid w:val="003D11B7"/>
    <w:rsid w:val="003D2A1B"/>
    <w:rsid w:val="003D5659"/>
    <w:rsid w:val="003E26E6"/>
    <w:rsid w:val="003E3547"/>
    <w:rsid w:val="003E3946"/>
    <w:rsid w:val="003E52C3"/>
    <w:rsid w:val="003E626C"/>
    <w:rsid w:val="003F0DCC"/>
    <w:rsid w:val="003F27CB"/>
    <w:rsid w:val="003F62C3"/>
    <w:rsid w:val="004000E8"/>
    <w:rsid w:val="00400BB2"/>
    <w:rsid w:val="0040295E"/>
    <w:rsid w:val="004042B1"/>
    <w:rsid w:val="00404308"/>
    <w:rsid w:val="004056E6"/>
    <w:rsid w:val="004077DB"/>
    <w:rsid w:val="00413C5E"/>
    <w:rsid w:val="00413ECA"/>
    <w:rsid w:val="00414911"/>
    <w:rsid w:val="00415BA0"/>
    <w:rsid w:val="0041658A"/>
    <w:rsid w:val="004204A7"/>
    <w:rsid w:val="004204EF"/>
    <w:rsid w:val="004210E1"/>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8AA"/>
    <w:rsid w:val="00457B69"/>
    <w:rsid w:val="004607E7"/>
    <w:rsid w:val="00462AA7"/>
    <w:rsid w:val="00466E3B"/>
    <w:rsid w:val="00467120"/>
    <w:rsid w:val="0047397A"/>
    <w:rsid w:val="00473DD4"/>
    <w:rsid w:val="00475B97"/>
    <w:rsid w:val="00476FB9"/>
    <w:rsid w:val="00481AEC"/>
    <w:rsid w:val="00485981"/>
    <w:rsid w:val="00490A06"/>
    <w:rsid w:val="00491603"/>
    <w:rsid w:val="004916D0"/>
    <w:rsid w:val="004942F6"/>
    <w:rsid w:val="004948FE"/>
    <w:rsid w:val="0049615B"/>
    <w:rsid w:val="00497B18"/>
    <w:rsid w:val="004A0000"/>
    <w:rsid w:val="004A41AD"/>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020F"/>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4CF9"/>
    <w:rsid w:val="005C579C"/>
    <w:rsid w:val="005D0599"/>
    <w:rsid w:val="005D0C9A"/>
    <w:rsid w:val="005D1183"/>
    <w:rsid w:val="005D27CC"/>
    <w:rsid w:val="005D2C3C"/>
    <w:rsid w:val="005D2EF1"/>
    <w:rsid w:val="005D560F"/>
    <w:rsid w:val="005D6D9A"/>
    <w:rsid w:val="005E13C4"/>
    <w:rsid w:val="005E5613"/>
    <w:rsid w:val="005E7E6A"/>
    <w:rsid w:val="005F0DA9"/>
    <w:rsid w:val="005F1F62"/>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D18"/>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F8"/>
    <w:rsid w:val="00643575"/>
    <w:rsid w:val="006461E0"/>
    <w:rsid w:val="00647444"/>
    <w:rsid w:val="00647921"/>
    <w:rsid w:val="006508AF"/>
    <w:rsid w:val="006528DB"/>
    <w:rsid w:val="00652A1C"/>
    <w:rsid w:val="00652A22"/>
    <w:rsid w:val="00655837"/>
    <w:rsid w:val="00660E2F"/>
    <w:rsid w:val="00662BFE"/>
    <w:rsid w:val="00663139"/>
    <w:rsid w:val="0067436B"/>
    <w:rsid w:val="00674FB7"/>
    <w:rsid w:val="006804DC"/>
    <w:rsid w:val="00680B6A"/>
    <w:rsid w:val="00682803"/>
    <w:rsid w:val="00685969"/>
    <w:rsid w:val="00691ED6"/>
    <w:rsid w:val="006922E6"/>
    <w:rsid w:val="006925A6"/>
    <w:rsid w:val="006929A6"/>
    <w:rsid w:val="00692B0D"/>
    <w:rsid w:val="00692CA8"/>
    <w:rsid w:val="006A16E1"/>
    <w:rsid w:val="006A2B0C"/>
    <w:rsid w:val="006A551A"/>
    <w:rsid w:val="006A6371"/>
    <w:rsid w:val="006B1D7E"/>
    <w:rsid w:val="006B3322"/>
    <w:rsid w:val="006B4521"/>
    <w:rsid w:val="006B45DD"/>
    <w:rsid w:val="006B6F25"/>
    <w:rsid w:val="006C0C8C"/>
    <w:rsid w:val="006C0FF3"/>
    <w:rsid w:val="006C128B"/>
    <w:rsid w:val="006C1C0F"/>
    <w:rsid w:val="006C587D"/>
    <w:rsid w:val="006C58F7"/>
    <w:rsid w:val="006D0BDF"/>
    <w:rsid w:val="006D1897"/>
    <w:rsid w:val="006D21CE"/>
    <w:rsid w:val="006D4377"/>
    <w:rsid w:val="006D74CA"/>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663"/>
    <w:rsid w:val="00761E32"/>
    <w:rsid w:val="00764279"/>
    <w:rsid w:val="00766496"/>
    <w:rsid w:val="00766A86"/>
    <w:rsid w:val="00767756"/>
    <w:rsid w:val="007767DC"/>
    <w:rsid w:val="00776909"/>
    <w:rsid w:val="007774FE"/>
    <w:rsid w:val="0077791D"/>
    <w:rsid w:val="0078013B"/>
    <w:rsid w:val="007846CC"/>
    <w:rsid w:val="0078480A"/>
    <w:rsid w:val="0078576A"/>
    <w:rsid w:val="00786C73"/>
    <w:rsid w:val="00790AF6"/>
    <w:rsid w:val="00792FB2"/>
    <w:rsid w:val="0079508F"/>
    <w:rsid w:val="007976E0"/>
    <w:rsid w:val="007A3403"/>
    <w:rsid w:val="007A5854"/>
    <w:rsid w:val="007A6F3A"/>
    <w:rsid w:val="007B10E6"/>
    <w:rsid w:val="007B6952"/>
    <w:rsid w:val="007B7DAE"/>
    <w:rsid w:val="007C0464"/>
    <w:rsid w:val="007C5CBA"/>
    <w:rsid w:val="007D0B5D"/>
    <w:rsid w:val="007D0FAE"/>
    <w:rsid w:val="007D2EF2"/>
    <w:rsid w:val="007D4E6C"/>
    <w:rsid w:val="007E100A"/>
    <w:rsid w:val="007E2AD9"/>
    <w:rsid w:val="007E32A8"/>
    <w:rsid w:val="007E43BC"/>
    <w:rsid w:val="007E567F"/>
    <w:rsid w:val="007E5F92"/>
    <w:rsid w:val="007E6615"/>
    <w:rsid w:val="007F11FC"/>
    <w:rsid w:val="007F2047"/>
    <w:rsid w:val="007F2316"/>
    <w:rsid w:val="007F35E0"/>
    <w:rsid w:val="007F473B"/>
    <w:rsid w:val="00801DB3"/>
    <w:rsid w:val="00806F08"/>
    <w:rsid w:val="008141AB"/>
    <w:rsid w:val="0081556A"/>
    <w:rsid w:val="00815650"/>
    <w:rsid w:val="00815EBD"/>
    <w:rsid w:val="00817E90"/>
    <w:rsid w:val="00821BB2"/>
    <w:rsid w:val="00824B14"/>
    <w:rsid w:val="00827246"/>
    <w:rsid w:val="00830E6E"/>
    <w:rsid w:val="00832030"/>
    <w:rsid w:val="00833E55"/>
    <w:rsid w:val="00834D55"/>
    <w:rsid w:val="008352D9"/>
    <w:rsid w:val="00841B31"/>
    <w:rsid w:val="008423F5"/>
    <w:rsid w:val="00842E43"/>
    <w:rsid w:val="00843BDF"/>
    <w:rsid w:val="008465E6"/>
    <w:rsid w:val="00853391"/>
    <w:rsid w:val="0085591C"/>
    <w:rsid w:val="0085722C"/>
    <w:rsid w:val="00857288"/>
    <w:rsid w:val="008612DC"/>
    <w:rsid w:val="00861713"/>
    <w:rsid w:val="00862433"/>
    <w:rsid w:val="00863971"/>
    <w:rsid w:val="0086434A"/>
    <w:rsid w:val="0086448E"/>
    <w:rsid w:val="00866508"/>
    <w:rsid w:val="0086707C"/>
    <w:rsid w:val="0087007E"/>
    <w:rsid w:val="00870337"/>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F6F"/>
    <w:rsid w:val="008B7138"/>
    <w:rsid w:val="008B7A1D"/>
    <w:rsid w:val="008C01A1"/>
    <w:rsid w:val="008D096F"/>
    <w:rsid w:val="008D26D2"/>
    <w:rsid w:val="008D2DAE"/>
    <w:rsid w:val="008D6D01"/>
    <w:rsid w:val="008E1A98"/>
    <w:rsid w:val="008E2482"/>
    <w:rsid w:val="008E38E3"/>
    <w:rsid w:val="008E542D"/>
    <w:rsid w:val="008E69ED"/>
    <w:rsid w:val="008E7D79"/>
    <w:rsid w:val="008F0B78"/>
    <w:rsid w:val="008F14F6"/>
    <w:rsid w:val="008F199A"/>
    <w:rsid w:val="008F1B32"/>
    <w:rsid w:val="008F365A"/>
    <w:rsid w:val="008F3FC2"/>
    <w:rsid w:val="008F46F9"/>
    <w:rsid w:val="008F5431"/>
    <w:rsid w:val="008F6E71"/>
    <w:rsid w:val="0090054F"/>
    <w:rsid w:val="00903D00"/>
    <w:rsid w:val="00907175"/>
    <w:rsid w:val="00913C1E"/>
    <w:rsid w:val="0091535A"/>
    <w:rsid w:val="00915C8D"/>
    <w:rsid w:val="00916F66"/>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020A"/>
    <w:rsid w:val="00961868"/>
    <w:rsid w:val="00961C44"/>
    <w:rsid w:val="00964F4D"/>
    <w:rsid w:val="009666C0"/>
    <w:rsid w:val="0096681F"/>
    <w:rsid w:val="0096767B"/>
    <w:rsid w:val="00970ABA"/>
    <w:rsid w:val="00972380"/>
    <w:rsid w:val="0097568E"/>
    <w:rsid w:val="0098007A"/>
    <w:rsid w:val="009811E0"/>
    <w:rsid w:val="009817D1"/>
    <w:rsid w:val="00984595"/>
    <w:rsid w:val="00984701"/>
    <w:rsid w:val="009857AA"/>
    <w:rsid w:val="009872CB"/>
    <w:rsid w:val="00990DC9"/>
    <w:rsid w:val="00993B7E"/>
    <w:rsid w:val="00993B90"/>
    <w:rsid w:val="009950C6"/>
    <w:rsid w:val="009A09A6"/>
    <w:rsid w:val="009A148E"/>
    <w:rsid w:val="009A168D"/>
    <w:rsid w:val="009A29E8"/>
    <w:rsid w:val="009A2E78"/>
    <w:rsid w:val="009A4655"/>
    <w:rsid w:val="009A745A"/>
    <w:rsid w:val="009B0378"/>
    <w:rsid w:val="009B0909"/>
    <w:rsid w:val="009B41A6"/>
    <w:rsid w:val="009B4603"/>
    <w:rsid w:val="009B721F"/>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33B"/>
    <w:rsid w:val="00A06A07"/>
    <w:rsid w:val="00A06F77"/>
    <w:rsid w:val="00A12E2C"/>
    <w:rsid w:val="00A15C31"/>
    <w:rsid w:val="00A1615E"/>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5846"/>
    <w:rsid w:val="00A476F0"/>
    <w:rsid w:val="00A478CB"/>
    <w:rsid w:val="00A51E01"/>
    <w:rsid w:val="00A51F8B"/>
    <w:rsid w:val="00A53F82"/>
    <w:rsid w:val="00A548F7"/>
    <w:rsid w:val="00A56E06"/>
    <w:rsid w:val="00A639EE"/>
    <w:rsid w:val="00A6453E"/>
    <w:rsid w:val="00A649D1"/>
    <w:rsid w:val="00A64DD6"/>
    <w:rsid w:val="00A658BD"/>
    <w:rsid w:val="00A65B0B"/>
    <w:rsid w:val="00A72159"/>
    <w:rsid w:val="00A74209"/>
    <w:rsid w:val="00A758F4"/>
    <w:rsid w:val="00A771B8"/>
    <w:rsid w:val="00A80439"/>
    <w:rsid w:val="00A8194F"/>
    <w:rsid w:val="00A838E9"/>
    <w:rsid w:val="00A845DB"/>
    <w:rsid w:val="00A85226"/>
    <w:rsid w:val="00A85309"/>
    <w:rsid w:val="00A85E39"/>
    <w:rsid w:val="00A86364"/>
    <w:rsid w:val="00A86C9D"/>
    <w:rsid w:val="00A92EBC"/>
    <w:rsid w:val="00A941A3"/>
    <w:rsid w:val="00A94CD2"/>
    <w:rsid w:val="00A95C42"/>
    <w:rsid w:val="00AA0E14"/>
    <w:rsid w:val="00AA6AB4"/>
    <w:rsid w:val="00AA6DF4"/>
    <w:rsid w:val="00AB33F5"/>
    <w:rsid w:val="00AB4373"/>
    <w:rsid w:val="00AB5B8B"/>
    <w:rsid w:val="00AB667C"/>
    <w:rsid w:val="00AB697C"/>
    <w:rsid w:val="00AB7E22"/>
    <w:rsid w:val="00AC0B8E"/>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3C58"/>
    <w:rsid w:val="00AF56F1"/>
    <w:rsid w:val="00AF61A8"/>
    <w:rsid w:val="00AF61F2"/>
    <w:rsid w:val="00B02D25"/>
    <w:rsid w:val="00B03CEC"/>
    <w:rsid w:val="00B05324"/>
    <w:rsid w:val="00B066C5"/>
    <w:rsid w:val="00B12372"/>
    <w:rsid w:val="00B15291"/>
    <w:rsid w:val="00B175F6"/>
    <w:rsid w:val="00B2068C"/>
    <w:rsid w:val="00B21029"/>
    <w:rsid w:val="00B25950"/>
    <w:rsid w:val="00B30A73"/>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578A"/>
    <w:rsid w:val="00B96A74"/>
    <w:rsid w:val="00BA12F3"/>
    <w:rsid w:val="00BA1AF8"/>
    <w:rsid w:val="00BA2628"/>
    <w:rsid w:val="00BA2653"/>
    <w:rsid w:val="00BA59F8"/>
    <w:rsid w:val="00BA7CBC"/>
    <w:rsid w:val="00BB0BE5"/>
    <w:rsid w:val="00BB1EB3"/>
    <w:rsid w:val="00BB213B"/>
    <w:rsid w:val="00BB409D"/>
    <w:rsid w:val="00BB56FA"/>
    <w:rsid w:val="00BB7695"/>
    <w:rsid w:val="00BC305A"/>
    <w:rsid w:val="00BC3ED5"/>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E6001"/>
    <w:rsid w:val="00BF0788"/>
    <w:rsid w:val="00BF28E3"/>
    <w:rsid w:val="00BF344C"/>
    <w:rsid w:val="00BF5ACF"/>
    <w:rsid w:val="00C06B33"/>
    <w:rsid w:val="00C10C12"/>
    <w:rsid w:val="00C126EB"/>
    <w:rsid w:val="00C2156D"/>
    <w:rsid w:val="00C2276C"/>
    <w:rsid w:val="00C22ED7"/>
    <w:rsid w:val="00C23346"/>
    <w:rsid w:val="00C24D2C"/>
    <w:rsid w:val="00C25A8A"/>
    <w:rsid w:val="00C26BEE"/>
    <w:rsid w:val="00C26EB4"/>
    <w:rsid w:val="00C30910"/>
    <w:rsid w:val="00C34C24"/>
    <w:rsid w:val="00C367AE"/>
    <w:rsid w:val="00C36EF2"/>
    <w:rsid w:val="00C370EE"/>
    <w:rsid w:val="00C40F6D"/>
    <w:rsid w:val="00C43C3B"/>
    <w:rsid w:val="00C51226"/>
    <w:rsid w:val="00C550F1"/>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0B59"/>
    <w:rsid w:val="00CE4689"/>
    <w:rsid w:val="00CE506B"/>
    <w:rsid w:val="00CF1A4B"/>
    <w:rsid w:val="00CF3268"/>
    <w:rsid w:val="00CF41FD"/>
    <w:rsid w:val="00CF5831"/>
    <w:rsid w:val="00D00134"/>
    <w:rsid w:val="00D00697"/>
    <w:rsid w:val="00D0077A"/>
    <w:rsid w:val="00D03699"/>
    <w:rsid w:val="00D17891"/>
    <w:rsid w:val="00D2016E"/>
    <w:rsid w:val="00D22DF6"/>
    <w:rsid w:val="00D25BDF"/>
    <w:rsid w:val="00D25BF3"/>
    <w:rsid w:val="00D25E7D"/>
    <w:rsid w:val="00D262B7"/>
    <w:rsid w:val="00D27843"/>
    <w:rsid w:val="00D30A79"/>
    <w:rsid w:val="00D30BAF"/>
    <w:rsid w:val="00D368D1"/>
    <w:rsid w:val="00D376C8"/>
    <w:rsid w:val="00D44EAD"/>
    <w:rsid w:val="00D45875"/>
    <w:rsid w:val="00D46559"/>
    <w:rsid w:val="00D468AA"/>
    <w:rsid w:val="00D46C7E"/>
    <w:rsid w:val="00D51999"/>
    <w:rsid w:val="00D57BF8"/>
    <w:rsid w:val="00D6184B"/>
    <w:rsid w:val="00D630FE"/>
    <w:rsid w:val="00D662E6"/>
    <w:rsid w:val="00D7077F"/>
    <w:rsid w:val="00D74367"/>
    <w:rsid w:val="00D761FB"/>
    <w:rsid w:val="00D76A8A"/>
    <w:rsid w:val="00D81AC0"/>
    <w:rsid w:val="00D832D8"/>
    <w:rsid w:val="00D84E6A"/>
    <w:rsid w:val="00D85FD2"/>
    <w:rsid w:val="00D8695C"/>
    <w:rsid w:val="00D86BBA"/>
    <w:rsid w:val="00D87123"/>
    <w:rsid w:val="00D92EFF"/>
    <w:rsid w:val="00D95944"/>
    <w:rsid w:val="00D95F03"/>
    <w:rsid w:val="00D962EA"/>
    <w:rsid w:val="00DA4444"/>
    <w:rsid w:val="00DA6C26"/>
    <w:rsid w:val="00DA74CD"/>
    <w:rsid w:val="00DB0AFF"/>
    <w:rsid w:val="00DB0CF5"/>
    <w:rsid w:val="00DB0F41"/>
    <w:rsid w:val="00DB139A"/>
    <w:rsid w:val="00DB2BFC"/>
    <w:rsid w:val="00DB512F"/>
    <w:rsid w:val="00DB5B48"/>
    <w:rsid w:val="00DC2400"/>
    <w:rsid w:val="00DC6CC0"/>
    <w:rsid w:val="00DD0D72"/>
    <w:rsid w:val="00DD116D"/>
    <w:rsid w:val="00DD4271"/>
    <w:rsid w:val="00DD776F"/>
    <w:rsid w:val="00DE0AD3"/>
    <w:rsid w:val="00DE412F"/>
    <w:rsid w:val="00DE6D50"/>
    <w:rsid w:val="00DF0376"/>
    <w:rsid w:val="00DF219E"/>
    <w:rsid w:val="00DF2F6C"/>
    <w:rsid w:val="00DF3E6A"/>
    <w:rsid w:val="00DF46EB"/>
    <w:rsid w:val="00DF4CD3"/>
    <w:rsid w:val="00DF7C02"/>
    <w:rsid w:val="00E07F40"/>
    <w:rsid w:val="00E13C1E"/>
    <w:rsid w:val="00E1431A"/>
    <w:rsid w:val="00E15020"/>
    <w:rsid w:val="00E16FEB"/>
    <w:rsid w:val="00E21931"/>
    <w:rsid w:val="00E22E41"/>
    <w:rsid w:val="00E23BB0"/>
    <w:rsid w:val="00E23DAA"/>
    <w:rsid w:val="00E244FB"/>
    <w:rsid w:val="00E249E1"/>
    <w:rsid w:val="00E25556"/>
    <w:rsid w:val="00E30AB5"/>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283A"/>
    <w:rsid w:val="00EA4111"/>
    <w:rsid w:val="00EA65C2"/>
    <w:rsid w:val="00EA7954"/>
    <w:rsid w:val="00EB0E34"/>
    <w:rsid w:val="00EB1D39"/>
    <w:rsid w:val="00EB21E1"/>
    <w:rsid w:val="00EB3605"/>
    <w:rsid w:val="00EB4ACE"/>
    <w:rsid w:val="00EC02D3"/>
    <w:rsid w:val="00EC1276"/>
    <w:rsid w:val="00EC13FC"/>
    <w:rsid w:val="00EC2196"/>
    <w:rsid w:val="00EC23F0"/>
    <w:rsid w:val="00EC78ED"/>
    <w:rsid w:val="00ED06CA"/>
    <w:rsid w:val="00ED2328"/>
    <w:rsid w:val="00ED2A9D"/>
    <w:rsid w:val="00ED456D"/>
    <w:rsid w:val="00ED5F57"/>
    <w:rsid w:val="00EE5FDA"/>
    <w:rsid w:val="00EF56DD"/>
    <w:rsid w:val="00F006FA"/>
    <w:rsid w:val="00F02112"/>
    <w:rsid w:val="00F03C51"/>
    <w:rsid w:val="00F04F25"/>
    <w:rsid w:val="00F05175"/>
    <w:rsid w:val="00F07AF6"/>
    <w:rsid w:val="00F11AE6"/>
    <w:rsid w:val="00F11DDA"/>
    <w:rsid w:val="00F12A67"/>
    <w:rsid w:val="00F13129"/>
    <w:rsid w:val="00F14966"/>
    <w:rsid w:val="00F170EB"/>
    <w:rsid w:val="00F24F60"/>
    <w:rsid w:val="00F255D0"/>
    <w:rsid w:val="00F306C1"/>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95"/>
    <w:rsid w:val="00FC1981"/>
    <w:rsid w:val="00FC1B45"/>
    <w:rsid w:val="00FC1EC0"/>
    <w:rsid w:val="00FC38C9"/>
    <w:rsid w:val="00FC5BE2"/>
    <w:rsid w:val="00FD1DDA"/>
    <w:rsid w:val="00FD2F6D"/>
    <w:rsid w:val="00FD5459"/>
    <w:rsid w:val="00FE2D21"/>
    <w:rsid w:val="00FE2DE9"/>
    <w:rsid w:val="00FE40E5"/>
    <w:rsid w:val="00FE6709"/>
    <w:rsid w:val="00FE6ECA"/>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lcommission.org/Policies/criteria-and-core-component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E12E-DEB5-4085-8B31-78D219D35F24}">
  <ds:schemaRefs>
    <ds:schemaRef ds:uri="a86ecd2c-4cfb-45c3-ab7c-e01d68768ef9"/>
    <ds:schemaRef ds:uri="http://purl.org/dc/terms/"/>
    <ds:schemaRef ds:uri="http://schemas.openxmlformats.org/package/2006/metadata/core-properties"/>
    <ds:schemaRef ds:uri="http://schemas.microsoft.com/office/2006/documentManagement/types"/>
    <ds:schemaRef ds:uri="62ff897b-6839-4992-885c-60cca9e1c57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3.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B8605-540C-43C7-A6BD-40B800D4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335</TotalTime>
  <Pages>4</Pages>
  <Words>1522</Words>
  <Characters>8680</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14</cp:revision>
  <cp:lastPrinted>2020-01-16T18:08:00Z</cp:lastPrinted>
  <dcterms:created xsi:type="dcterms:W3CDTF">2022-01-14T20:13:00Z</dcterms:created>
  <dcterms:modified xsi:type="dcterms:W3CDTF">2022-02-01T17:27:00Z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