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B664" w14:textId="77777777" w:rsidR="00D724DE" w:rsidRPr="003467E9" w:rsidRDefault="00D724DE" w:rsidP="003467E9">
      <w:pPr>
        <w:pStyle w:val="Heading1"/>
        <w:spacing w:before="600" w:after="120"/>
        <w:rPr>
          <w:sz w:val="24"/>
        </w:rPr>
      </w:pPr>
      <w:r w:rsidRPr="003467E9">
        <w:rPr>
          <w:sz w:val="24"/>
        </w:rPr>
        <w:t>Terms of Eligibility</w:t>
      </w:r>
    </w:p>
    <w:p w14:paraId="0DCBD573" w14:textId="77777777" w:rsidR="00387798" w:rsidRPr="00214AE8" w:rsidRDefault="00387798" w:rsidP="003467E9">
      <w:pPr>
        <w:spacing w:before="0" w:after="120" w:line="240" w:lineRule="auto"/>
        <w:rPr>
          <w:rFonts w:cstheme="minorHAnsi"/>
          <w:sz w:val="22"/>
          <w:szCs w:val="22"/>
        </w:rPr>
      </w:pPr>
      <w:r w:rsidRPr="00214AE8">
        <w:rPr>
          <w:rFonts w:cstheme="minorHAnsi"/>
          <w:sz w:val="22"/>
          <w:szCs w:val="22"/>
        </w:rPr>
        <w:t xml:space="preserve">LCC employees may enroll one (1) Additional Eligible Adult (AEA) in the LCC-sponsored </w:t>
      </w:r>
      <w:r w:rsidR="00E76240">
        <w:rPr>
          <w:rFonts w:cstheme="minorHAnsi"/>
          <w:sz w:val="22"/>
          <w:szCs w:val="22"/>
        </w:rPr>
        <w:t>medical</w:t>
      </w:r>
      <w:r w:rsidRPr="00214AE8">
        <w:rPr>
          <w:rFonts w:cstheme="minorHAnsi"/>
          <w:sz w:val="22"/>
          <w:szCs w:val="22"/>
        </w:rPr>
        <w:t xml:space="preserve"> plan, based on meeting all of the </w:t>
      </w:r>
      <w:r w:rsidR="0008527A" w:rsidRPr="00214AE8">
        <w:rPr>
          <w:rFonts w:cstheme="minorHAnsi"/>
          <w:sz w:val="22"/>
          <w:szCs w:val="22"/>
        </w:rPr>
        <w:t xml:space="preserve">following </w:t>
      </w:r>
      <w:r w:rsidRPr="00214AE8">
        <w:rPr>
          <w:rFonts w:cstheme="minorHAnsi"/>
          <w:sz w:val="22"/>
          <w:szCs w:val="22"/>
        </w:rPr>
        <w:t>criteria:</w:t>
      </w:r>
    </w:p>
    <w:p w14:paraId="5FC85C51"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 xml:space="preserve">The LCC employee is eligible for and enrolled in the LCC-sponsored </w:t>
      </w:r>
      <w:r w:rsidR="00E76240">
        <w:rPr>
          <w:rFonts w:cstheme="minorHAnsi"/>
          <w:sz w:val="22"/>
          <w:szCs w:val="22"/>
        </w:rPr>
        <w:t>medical</w:t>
      </w:r>
      <w:r w:rsidRPr="00C64C8E">
        <w:rPr>
          <w:rFonts w:cstheme="minorHAnsi"/>
          <w:sz w:val="22"/>
          <w:szCs w:val="22"/>
        </w:rPr>
        <w:t xml:space="preserve"> plan in which the AEA will be enrolled;</w:t>
      </w:r>
    </w:p>
    <w:p w14:paraId="248A6A77"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 xml:space="preserve">The LCC employee does not have a current or former spouse who is enrolled in any LCC-sponsored </w:t>
      </w:r>
      <w:r w:rsidR="00E76240">
        <w:rPr>
          <w:rFonts w:cstheme="minorHAnsi"/>
          <w:sz w:val="22"/>
          <w:szCs w:val="22"/>
        </w:rPr>
        <w:t>medical</w:t>
      </w:r>
      <w:r w:rsidRPr="00C64C8E">
        <w:rPr>
          <w:rFonts w:cstheme="minorHAnsi"/>
          <w:sz w:val="22"/>
          <w:szCs w:val="22"/>
        </w:rPr>
        <w:t xml:space="preserve"> plan on the basis of any relationship with the LCC employee seeking to designate the AEA;</w:t>
      </w:r>
    </w:p>
    <w:p w14:paraId="6D23254E"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is an adult under Michigan law;</w:t>
      </w:r>
    </w:p>
    <w:p w14:paraId="785B0583"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currently resides in the same principal residence as the employee and has done so for the past twelve months;</w:t>
      </w:r>
    </w:p>
    <w:p w14:paraId="56EF6D3F"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is not a tenant of the LCC employee and the LCC employee is not a tenant of the AEA;</w:t>
      </w:r>
    </w:p>
    <w:p w14:paraId="3A3EF110"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is not an IRS defined “dependent” of the LCC employee, and the LCC employee is not an IRS defined “dependent” of the AEA;</w:t>
      </w:r>
    </w:p>
    <w:p w14:paraId="1BB2D13A"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and the LCC employee are not related by blood to a degree that would prevent legal marriage in Michigan;</w:t>
      </w:r>
    </w:p>
    <w:p w14:paraId="36114C74"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is not eligible to inherit from the LCC employee, or from the employee’s current or former spouse, under the laws of intestate succession in the State of Michigan (this provision does not preclude the LCC employee from naming the AEA in his or her estate plan);</w:t>
      </w:r>
    </w:p>
    <w:p w14:paraId="50AEC253"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is not eligible for coverage through LCC as an employee or retiree;</w:t>
      </w:r>
    </w:p>
    <w:p w14:paraId="5B61CF3B"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sz w:val="22"/>
          <w:szCs w:val="22"/>
        </w:rPr>
        <w:t>The AEA and LCC employee provide satisfactory evidence that at least three (3) of the following four (4) standards are met:</w:t>
      </w:r>
    </w:p>
    <w:p w14:paraId="5257E58C" w14:textId="77777777" w:rsidR="00387798" w:rsidRPr="00C64C8E" w:rsidRDefault="00387798" w:rsidP="00C64C8E">
      <w:pPr>
        <w:numPr>
          <w:ilvl w:val="1"/>
          <w:numId w:val="2"/>
        </w:numPr>
        <w:tabs>
          <w:tab w:val="clear" w:pos="1440"/>
        </w:tabs>
        <w:spacing w:before="0" w:after="40" w:line="240" w:lineRule="auto"/>
        <w:ind w:left="1260"/>
        <w:rPr>
          <w:rFonts w:cstheme="minorHAnsi"/>
          <w:sz w:val="22"/>
          <w:szCs w:val="22"/>
        </w:rPr>
      </w:pPr>
      <w:r w:rsidRPr="00C64C8E">
        <w:rPr>
          <w:rFonts w:cstheme="minorHAnsi"/>
          <w:sz w:val="22"/>
          <w:szCs w:val="22"/>
        </w:rPr>
        <w:t xml:space="preserve">The LCC employee and the AEA have common or joint ownership of their primary residence; </w:t>
      </w:r>
    </w:p>
    <w:p w14:paraId="110E00E8" w14:textId="77777777" w:rsidR="00BC1E2A" w:rsidRPr="003467E9" w:rsidRDefault="00BC1E2A" w:rsidP="00C64C8E">
      <w:pPr>
        <w:spacing w:before="0" w:after="40" w:line="240" w:lineRule="auto"/>
        <w:jc w:val="center"/>
        <w:rPr>
          <w:rFonts w:cstheme="minorHAnsi"/>
          <w:sz w:val="22"/>
          <w:szCs w:val="22"/>
        </w:rPr>
      </w:pPr>
      <w:r w:rsidRPr="003467E9">
        <w:rPr>
          <w:rFonts w:cstheme="minorHAnsi"/>
          <w:sz w:val="22"/>
          <w:szCs w:val="22"/>
        </w:rPr>
        <w:t>OR</w:t>
      </w:r>
    </w:p>
    <w:p w14:paraId="61457DF9" w14:textId="77777777" w:rsidR="00387798" w:rsidRPr="00C64C8E" w:rsidRDefault="00387798" w:rsidP="00C64C8E">
      <w:pPr>
        <w:numPr>
          <w:ilvl w:val="1"/>
          <w:numId w:val="2"/>
        </w:numPr>
        <w:tabs>
          <w:tab w:val="clear" w:pos="1440"/>
        </w:tabs>
        <w:spacing w:before="0" w:after="40" w:line="240" w:lineRule="auto"/>
        <w:ind w:left="1260"/>
        <w:rPr>
          <w:rFonts w:cstheme="minorHAnsi"/>
          <w:sz w:val="22"/>
          <w:szCs w:val="22"/>
        </w:rPr>
      </w:pPr>
      <w:r w:rsidRPr="00C64C8E">
        <w:rPr>
          <w:rFonts w:cstheme="minorHAnsi"/>
          <w:sz w:val="22"/>
          <w:szCs w:val="22"/>
        </w:rPr>
        <w:t>The LCC employee and the AEA have at least two (2) of the following:</w:t>
      </w:r>
    </w:p>
    <w:p w14:paraId="41FEB46A"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Joint ownership or lease of a motor vehicle; or</w:t>
      </w:r>
    </w:p>
    <w:p w14:paraId="635C231E"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Joint bank account(s); or</w:t>
      </w:r>
    </w:p>
    <w:p w14:paraId="60BC2338"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Joint credit card account(s); or</w:t>
      </w:r>
    </w:p>
    <w:p w14:paraId="2C9FF5B5"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A lease for a residence identifying both the employee and AEA as joint tenants.</w:t>
      </w:r>
    </w:p>
    <w:p w14:paraId="0FA1FCD8" w14:textId="77777777" w:rsidR="00BC1E2A" w:rsidRPr="003467E9" w:rsidRDefault="00BC1E2A" w:rsidP="00C64C8E">
      <w:pPr>
        <w:spacing w:before="0" w:after="40" w:line="240" w:lineRule="auto"/>
        <w:jc w:val="center"/>
        <w:rPr>
          <w:rFonts w:cstheme="minorHAnsi"/>
          <w:sz w:val="22"/>
          <w:szCs w:val="22"/>
        </w:rPr>
      </w:pPr>
      <w:r w:rsidRPr="003467E9">
        <w:rPr>
          <w:rFonts w:cstheme="minorHAnsi"/>
          <w:sz w:val="22"/>
          <w:szCs w:val="22"/>
        </w:rPr>
        <w:t>OR</w:t>
      </w:r>
    </w:p>
    <w:p w14:paraId="546DA703" w14:textId="77777777" w:rsidR="00387798" w:rsidRPr="00C64C8E" w:rsidRDefault="00387798" w:rsidP="00C64C8E">
      <w:pPr>
        <w:numPr>
          <w:ilvl w:val="1"/>
          <w:numId w:val="2"/>
        </w:numPr>
        <w:tabs>
          <w:tab w:val="clear" w:pos="1440"/>
        </w:tabs>
        <w:spacing w:before="0" w:after="40" w:line="240" w:lineRule="auto"/>
        <w:ind w:left="1260"/>
        <w:rPr>
          <w:rFonts w:cstheme="minorHAnsi"/>
          <w:sz w:val="22"/>
          <w:szCs w:val="22"/>
        </w:rPr>
      </w:pPr>
      <w:r w:rsidRPr="00C64C8E">
        <w:rPr>
          <w:rFonts w:cstheme="minorHAnsi"/>
          <w:sz w:val="22"/>
          <w:szCs w:val="22"/>
        </w:rPr>
        <w:t>The AEA has been designated as the primary beneficiary for at least two (2) of the following:</w:t>
      </w:r>
    </w:p>
    <w:p w14:paraId="0DACEEF1"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The LCC employee’s life insurance; or</w:t>
      </w:r>
    </w:p>
    <w:p w14:paraId="3E5746A7"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The LCC employee’s will or living trust; or</w:t>
      </w:r>
    </w:p>
    <w:p w14:paraId="353E49DD" w14:textId="77777777" w:rsidR="00387798" w:rsidRPr="00C64C8E" w:rsidRDefault="00387798" w:rsidP="00C64C8E">
      <w:pPr>
        <w:numPr>
          <w:ilvl w:val="2"/>
          <w:numId w:val="2"/>
        </w:numPr>
        <w:tabs>
          <w:tab w:val="clear" w:pos="2160"/>
        </w:tabs>
        <w:spacing w:before="0" w:after="40" w:line="240" w:lineRule="auto"/>
        <w:ind w:left="2070"/>
        <w:rPr>
          <w:rFonts w:cstheme="minorHAnsi"/>
          <w:sz w:val="22"/>
          <w:szCs w:val="22"/>
        </w:rPr>
      </w:pPr>
      <w:r w:rsidRPr="00C64C8E">
        <w:rPr>
          <w:rFonts w:cstheme="minorHAnsi"/>
          <w:sz w:val="22"/>
          <w:szCs w:val="22"/>
        </w:rPr>
        <w:t>The LCC employee’s retirement account.</w:t>
      </w:r>
    </w:p>
    <w:p w14:paraId="31A46AEB" w14:textId="77777777" w:rsidR="00BC1E2A" w:rsidRPr="003467E9" w:rsidRDefault="00BC1E2A" w:rsidP="00C64C8E">
      <w:pPr>
        <w:spacing w:before="0" w:after="40" w:line="240" w:lineRule="auto"/>
        <w:jc w:val="center"/>
        <w:rPr>
          <w:rFonts w:cstheme="minorHAnsi"/>
          <w:sz w:val="22"/>
          <w:szCs w:val="22"/>
        </w:rPr>
      </w:pPr>
      <w:r w:rsidRPr="003467E9">
        <w:rPr>
          <w:rFonts w:cstheme="minorHAnsi"/>
          <w:sz w:val="22"/>
          <w:szCs w:val="22"/>
        </w:rPr>
        <w:t>OR</w:t>
      </w:r>
    </w:p>
    <w:p w14:paraId="0BA685BA" w14:textId="77777777" w:rsidR="00387798" w:rsidRPr="00C64C8E" w:rsidRDefault="00387798" w:rsidP="00C64C8E">
      <w:pPr>
        <w:numPr>
          <w:ilvl w:val="1"/>
          <w:numId w:val="2"/>
        </w:numPr>
        <w:tabs>
          <w:tab w:val="clear" w:pos="1440"/>
        </w:tabs>
        <w:spacing w:before="0" w:after="40" w:line="240" w:lineRule="auto"/>
        <w:ind w:left="1260"/>
        <w:rPr>
          <w:rFonts w:cstheme="minorHAnsi"/>
          <w:sz w:val="22"/>
          <w:szCs w:val="22"/>
        </w:rPr>
      </w:pPr>
      <w:r w:rsidRPr="00C64C8E">
        <w:rPr>
          <w:rFonts w:cstheme="minorHAnsi"/>
          <w:sz w:val="22"/>
          <w:szCs w:val="22"/>
        </w:rPr>
        <w:t>The LCC employee and AEA have mutual durable powers of attorney for both health care and financial management for each other.</w:t>
      </w:r>
    </w:p>
    <w:p w14:paraId="0E64E792" w14:textId="77777777" w:rsidR="00E70F7D" w:rsidRDefault="00E70F7D" w:rsidP="00C64C8E">
      <w:pPr>
        <w:autoSpaceDE w:val="0"/>
        <w:autoSpaceDN w:val="0"/>
        <w:adjustRightInd w:val="0"/>
        <w:spacing w:before="0" w:after="40" w:line="240" w:lineRule="auto"/>
        <w:rPr>
          <w:rFonts w:cstheme="minorHAnsi"/>
          <w:color w:val="131313"/>
          <w:sz w:val="22"/>
          <w:szCs w:val="22"/>
        </w:rPr>
      </w:pPr>
    </w:p>
    <w:p w14:paraId="50148BF4" w14:textId="77777777" w:rsidR="00387798" w:rsidRPr="00C64C8E" w:rsidRDefault="00387798" w:rsidP="00C64C8E">
      <w:pPr>
        <w:autoSpaceDE w:val="0"/>
        <w:autoSpaceDN w:val="0"/>
        <w:adjustRightInd w:val="0"/>
        <w:spacing w:before="0" w:after="40" w:line="240" w:lineRule="auto"/>
        <w:rPr>
          <w:rFonts w:cstheme="minorHAnsi"/>
          <w:color w:val="131313"/>
          <w:sz w:val="22"/>
          <w:szCs w:val="22"/>
        </w:rPr>
      </w:pPr>
      <w:r w:rsidRPr="00C64C8E">
        <w:rPr>
          <w:rFonts w:cstheme="minorHAnsi"/>
          <w:color w:val="131313"/>
          <w:sz w:val="22"/>
          <w:szCs w:val="22"/>
        </w:rPr>
        <w:t>Eligibility to continue coverage for an AEA ceases at the end of the month in which any one or more of the eligibility criteria are not met.</w:t>
      </w:r>
    </w:p>
    <w:p w14:paraId="3F49E728" w14:textId="77777777" w:rsidR="00E70F7D" w:rsidRDefault="00E70F7D">
      <w:pPr>
        <w:rPr>
          <w:rFonts w:cstheme="minorHAnsi"/>
          <w:color w:val="131313"/>
          <w:sz w:val="22"/>
          <w:szCs w:val="22"/>
        </w:rPr>
      </w:pPr>
      <w:r>
        <w:rPr>
          <w:rFonts w:cstheme="minorHAnsi"/>
          <w:color w:val="131313"/>
          <w:sz w:val="22"/>
          <w:szCs w:val="22"/>
        </w:rPr>
        <w:br w:type="page"/>
      </w:r>
    </w:p>
    <w:p w14:paraId="1135C95E" w14:textId="77777777" w:rsidR="00E70F7D" w:rsidRDefault="00E70F7D" w:rsidP="00C64C8E">
      <w:pPr>
        <w:autoSpaceDE w:val="0"/>
        <w:autoSpaceDN w:val="0"/>
        <w:adjustRightInd w:val="0"/>
        <w:spacing w:before="0" w:after="40" w:line="240" w:lineRule="auto"/>
        <w:rPr>
          <w:rFonts w:cstheme="minorHAnsi"/>
          <w:color w:val="131313"/>
          <w:sz w:val="22"/>
          <w:szCs w:val="22"/>
        </w:rPr>
      </w:pPr>
    </w:p>
    <w:p w14:paraId="577ADAD6" w14:textId="77777777" w:rsidR="00E70F7D" w:rsidRDefault="00E70F7D" w:rsidP="00C64C8E">
      <w:pPr>
        <w:autoSpaceDE w:val="0"/>
        <w:autoSpaceDN w:val="0"/>
        <w:adjustRightInd w:val="0"/>
        <w:spacing w:before="0" w:after="40" w:line="240" w:lineRule="auto"/>
        <w:rPr>
          <w:rFonts w:cstheme="minorHAnsi"/>
          <w:color w:val="131313"/>
          <w:sz w:val="22"/>
          <w:szCs w:val="22"/>
        </w:rPr>
      </w:pPr>
    </w:p>
    <w:p w14:paraId="1F2A2CB8" w14:textId="77777777" w:rsidR="00387798" w:rsidRPr="00C64C8E" w:rsidRDefault="00387798" w:rsidP="003467E9">
      <w:pPr>
        <w:autoSpaceDE w:val="0"/>
        <w:autoSpaceDN w:val="0"/>
        <w:adjustRightInd w:val="0"/>
        <w:spacing w:before="0" w:after="120" w:line="240" w:lineRule="auto"/>
        <w:rPr>
          <w:rFonts w:cstheme="minorHAnsi"/>
          <w:color w:val="131313"/>
          <w:sz w:val="22"/>
          <w:szCs w:val="22"/>
        </w:rPr>
      </w:pPr>
      <w:r w:rsidRPr="00C64C8E">
        <w:rPr>
          <w:rFonts w:cstheme="minorHAnsi"/>
          <w:color w:val="131313"/>
          <w:sz w:val="22"/>
          <w:szCs w:val="22"/>
        </w:rPr>
        <w:t xml:space="preserve">The following individuals are </w:t>
      </w:r>
      <w:r w:rsidRPr="00C64C8E">
        <w:rPr>
          <w:rFonts w:cstheme="minorHAnsi"/>
          <w:i/>
          <w:iCs/>
          <w:color w:val="131313"/>
          <w:sz w:val="22"/>
          <w:szCs w:val="22"/>
        </w:rPr>
        <w:t xml:space="preserve">disqualified </w:t>
      </w:r>
      <w:r w:rsidRPr="00C64C8E">
        <w:rPr>
          <w:rFonts w:cstheme="minorHAnsi"/>
          <w:color w:val="131313"/>
          <w:sz w:val="22"/>
          <w:szCs w:val="22"/>
        </w:rPr>
        <w:t xml:space="preserve">from eligibility </w:t>
      </w:r>
      <w:r w:rsidRPr="00C64C8E">
        <w:rPr>
          <w:rFonts w:cstheme="minorHAnsi"/>
          <w:i/>
          <w:iCs/>
          <w:color w:val="131313"/>
          <w:sz w:val="22"/>
          <w:szCs w:val="22"/>
        </w:rPr>
        <w:t xml:space="preserve">as an AEA </w:t>
      </w:r>
      <w:r w:rsidRPr="00C64C8E">
        <w:rPr>
          <w:rFonts w:cstheme="minorHAnsi"/>
          <w:color w:val="131313"/>
          <w:sz w:val="22"/>
          <w:szCs w:val="22"/>
        </w:rPr>
        <w:t>under this program:</w:t>
      </w:r>
    </w:p>
    <w:p w14:paraId="300254AE"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color w:val="131313"/>
          <w:sz w:val="22"/>
          <w:szCs w:val="22"/>
        </w:rPr>
        <w:t>The current or former spouse of the LCC employee</w:t>
      </w:r>
      <w:r w:rsidRPr="00C64C8E">
        <w:rPr>
          <w:rStyle w:val="FootnoteReference"/>
          <w:rFonts w:cstheme="minorHAnsi"/>
          <w:color w:val="131313"/>
          <w:sz w:val="22"/>
          <w:szCs w:val="22"/>
        </w:rPr>
        <w:footnoteReference w:id="1"/>
      </w:r>
    </w:p>
    <w:p w14:paraId="647755C6" w14:textId="77777777" w:rsidR="00387798" w:rsidRPr="00C64C8E" w:rsidRDefault="00387798" w:rsidP="00C64C8E">
      <w:pPr>
        <w:pStyle w:val="ListParagraph"/>
        <w:numPr>
          <w:ilvl w:val="0"/>
          <w:numId w:val="2"/>
        </w:numPr>
        <w:autoSpaceDE w:val="0"/>
        <w:autoSpaceDN w:val="0"/>
        <w:adjustRightInd w:val="0"/>
        <w:spacing w:before="0" w:after="40" w:line="240" w:lineRule="auto"/>
        <w:rPr>
          <w:rFonts w:cstheme="minorHAnsi"/>
          <w:sz w:val="22"/>
          <w:szCs w:val="22"/>
        </w:rPr>
      </w:pPr>
      <w:r w:rsidRPr="00C64C8E">
        <w:rPr>
          <w:rFonts w:cstheme="minorHAnsi"/>
          <w:color w:val="131313"/>
          <w:sz w:val="22"/>
          <w:szCs w:val="22"/>
        </w:rPr>
        <w:t>The children (including adopted, step- and foster children) of the LCC employee or of the LCC employee's current or former spouse, and their descendants (e.g., children, grandchildren, etc.)</w:t>
      </w:r>
      <w:r w:rsidRPr="00C64C8E">
        <w:rPr>
          <w:rFonts w:cstheme="minorHAnsi"/>
          <w:sz w:val="22"/>
          <w:szCs w:val="22"/>
        </w:rPr>
        <w:t xml:space="preserve"> </w:t>
      </w:r>
    </w:p>
    <w:p w14:paraId="51228078"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color w:val="131313"/>
          <w:sz w:val="22"/>
          <w:szCs w:val="22"/>
        </w:rPr>
        <w:t>The parents (including adopted, step- and foster parents) of the LCC employee or of the LCC employee's current or former spouse, and their descendants (e.g., the LCC employee's siblings, nieces, nephews, in-laws, etc.)</w:t>
      </w:r>
      <w:r w:rsidRPr="00C64C8E">
        <w:rPr>
          <w:rFonts w:cstheme="minorHAnsi"/>
          <w:sz w:val="22"/>
          <w:szCs w:val="22"/>
        </w:rPr>
        <w:t xml:space="preserve"> </w:t>
      </w:r>
    </w:p>
    <w:p w14:paraId="33A758E1" w14:textId="77777777" w:rsidR="00387798" w:rsidRPr="00C64C8E" w:rsidRDefault="00387798" w:rsidP="00C64C8E">
      <w:pPr>
        <w:numPr>
          <w:ilvl w:val="0"/>
          <w:numId w:val="2"/>
        </w:numPr>
        <w:spacing w:before="0" w:after="40" w:line="240" w:lineRule="auto"/>
        <w:rPr>
          <w:rFonts w:cstheme="minorHAnsi"/>
          <w:sz w:val="22"/>
          <w:szCs w:val="22"/>
        </w:rPr>
      </w:pPr>
      <w:r w:rsidRPr="00C64C8E">
        <w:rPr>
          <w:rFonts w:cstheme="minorHAnsi"/>
          <w:color w:val="131313"/>
          <w:sz w:val="22"/>
          <w:szCs w:val="22"/>
        </w:rPr>
        <w:t>The grandparents of the LCC employee or of the LCC employee's current or former spouse, and their descendants (e.g., aunts, uncles, cousins, etc.)</w:t>
      </w:r>
      <w:r w:rsidRPr="00C64C8E">
        <w:rPr>
          <w:rFonts w:cstheme="minorHAnsi"/>
          <w:sz w:val="22"/>
          <w:szCs w:val="22"/>
        </w:rPr>
        <w:t xml:space="preserve"> </w:t>
      </w:r>
    </w:p>
    <w:p w14:paraId="36098F0C" w14:textId="77777777" w:rsidR="00387798" w:rsidRPr="00C64C8E" w:rsidRDefault="00387798" w:rsidP="00C64C8E">
      <w:pPr>
        <w:numPr>
          <w:ilvl w:val="0"/>
          <w:numId w:val="2"/>
        </w:numPr>
        <w:spacing w:before="0" w:after="40" w:line="240" w:lineRule="auto"/>
        <w:rPr>
          <w:rFonts w:cstheme="minorHAnsi"/>
          <w:color w:val="131313"/>
          <w:sz w:val="22"/>
          <w:szCs w:val="22"/>
        </w:rPr>
      </w:pPr>
      <w:r w:rsidRPr="00C64C8E">
        <w:rPr>
          <w:rFonts w:cstheme="minorHAnsi"/>
          <w:color w:val="131313"/>
          <w:sz w:val="22"/>
          <w:szCs w:val="22"/>
        </w:rPr>
        <w:t>The LCC employee's renters, boarders, tenants, landlord, etc.</w:t>
      </w:r>
    </w:p>
    <w:p w14:paraId="27C19B00" w14:textId="77777777" w:rsidR="00E70F7D" w:rsidRDefault="00E70F7D" w:rsidP="00C64C8E">
      <w:pPr>
        <w:autoSpaceDE w:val="0"/>
        <w:autoSpaceDN w:val="0"/>
        <w:adjustRightInd w:val="0"/>
        <w:spacing w:before="0" w:after="40" w:line="240" w:lineRule="auto"/>
        <w:rPr>
          <w:rFonts w:cstheme="minorHAnsi"/>
          <w:color w:val="171717"/>
          <w:sz w:val="22"/>
          <w:szCs w:val="22"/>
        </w:rPr>
      </w:pPr>
    </w:p>
    <w:p w14:paraId="49640818" w14:textId="77777777" w:rsidR="00387798" w:rsidRPr="00C64C8E" w:rsidRDefault="00387798" w:rsidP="00C64C8E">
      <w:pPr>
        <w:autoSpaceDE w:val="0"/>
        <w:autoSpaceDN w:val="0"/>
        <w:adjustRightInd w:val="0"/>
        <w:spacing w:before="0" w:after="40" w:line="240" w:lineRule="auto"/>
        <w:rPr>
          <w:rFonts w:cstheme="minorHAnsi"/>
          <w:color w:val="171717"/>
          <w:sz w:val="22"/>
          <w:szCs w:val="22"/>
        </w:rPr>
      </w:pPr>
      <w:r w:rsidRPr="00C64C8E">
        <w:rPr>
          <w:rFonts w:cstheme="minorHAnsi"/>
          <w:color w:val="171717"/>
          <w:sz w:val="22"/>
          <w:szCs w:val="22"/>
        </w:rPr>
        <w:t>Eligibility to continue coverage for an AEA ceases immediately upon an AEA becoming disqualified.</w:t>
      </w:r>
    </w:p>
    <w:p w14:paraId="1D976A4C" w14:textId="77777777" w:rsidR="00E70F7D" w:rsidRDefault="00E70F7D" w:rsidP="00C64C8E">
      <w:pPr>
        <w:autoSpaceDE w:val="0"/>
        <w:autoSpaceDN w:val="0"/>
        <w:adjustRightInd w:val="0"/>
        <w:spacing w:before="0" w:after="40" w:line="240" w:lineRule="auto"/>
        <w:rPr>
          <w:rFonts w:cstheme="minorHAnsi"/>
          <w:color w:val="171717"/>
          <w:sz w:val="22"/>
          <w:szCs w:val="22"/>
        </w:rPr>
      </w:pPr>
    </w:p>
    <w:p w14:paraId="54D59676" w14:textId="77777777" w:rsidR="00387798" w:rsidRPr="00C64C8E" w:rsidRDefault="00387798" w:rsidP="00C64C8E">
      <w:pPr>
        <w:autoSpaceDE w:val="0"/>
        <w:autoSpaceDN w:val="0"/>
        <w:adjustRightInd w:val="0"/>
        <w:spacing w:before="0" w:after="40" w:line="240" w:lineRule="auto"/>
        <w:rPr>
          <w:rFonts w:cstheme="minorHAnsi"/>
          <w:color w:val="171717"/>
          <w:sz w:val="22"/>
          <w:szCs w:val="22"/>
        </w:rPr>
      </w:pPr>
      <w:r w:rsidRPr="00C64C8E">
        <w:rPr>
          <w:rFonts w:cstheme="minorHAnsi"/>
          <w:color w:val="171717"/>
          <w:sz w:val="22"/>
          <w:szCs w:val="22"/>
        </w:rPr>
        <w:t xml:space="preserve">Employees must notify Human Resources in writing of any change in eligibility status or </w:t>
      </w:r>
      <w:r w:rsidR="003467E9">
        <w:rPr>
          <w:rFonts w:cstheme="minorHAnsi"/>
          <w:color w:val="171717"/>
          <w:sz w:val="22"/>
          <w:szCs w:val="22"/>
        </w:rPr>
        <w:t>any disqualification, within 30</w:t>
      </w:r>
      <w:r w:rsidRPr="00C64C8E">
        <w:rPr>
          <w:rFonts w:cstheme="minorHAnsi"/>
          <w:color w:val="171717"/>
          <w:sz w:val="22"/>
          <w:szCs w:val="22"/>
        </w:rPr>
        <w:t xml:space="preserve"> days after the relevant event.</w:t>
      </w:r>
    </w:p>
    <w:p w14:paraId="20FA1731" w14:textId="77777777" w:rsidR="00E70F7D" w:rsidRDefault="00E70F7D" w:rsidP="00C64C8E">
      <w:pPr>
        <w:spacing w:before="0" w:after="40" w:line="240" w:lineRule="auto"/>
        <w:rPr>
          <w:rFonts w:cstheme="minorHAnsi"/>
          <w:sz w:val="22"/>
          <w:szCs w:val="22"/>
        </w:rPr>
      </w:pPr>
    </w:p>
    <w:p w14:paraId="355882FA" w14:textId="77777777" w:rsidR="00F23591" w:rsidRPr="00C64C8E" w:rsidRDefault="00F23591" w:rsidP="00C64C8E">
      <w:pPr>
        <w:spacing w:before="0" w:after="40" w:line="240" w:lineRule="auto"/>
        <w:rPr>
          <w:rFonts w:cstheme="minorHAnsi"/>
          <w:sz w:val="22"/>
          <w:szCs w:val="22"/>
        </w:rPr>
      </w:pPr>
      <w:r w:rsidRPr="00C64C8E">
        <w:rPr>
          <w:rFonts w:cstheme="minorHAnsi"/>
          <w:sz w:val="22"/>
          <w:szCs w:val="22"/>
        </w:rPr>
        <w:t xml:space="preserve">Enrollment in coverage for your AEA will require completion of insurance enrollment forms, signing the AEA Affidavit </w:t>
      </w:r>
      <w:r w:rsidR="00214AE8">
        <w:rPr>
          <w:rFonts w:cstheme="minorHAnsi"/>
          <w:sz w:val="22"/>
          <w:szCs w:val="22"/>
        </w:rPr>
        <w:t xml:space="preserve">of Eligibility </w:t>
      </w:r>
      <w:r w:rsidRPr="00C64C8E">
        <w:rPr>
          <w:rFonts w:cstheme="minorHAnsi"/>
          <w:sz w:val="22"/>
          <w:szCs w:val="22"/>
        </w:rPr>
        <w:t>(below) and providing documentation to support the eligibility criteria. </w:t>
      </w:r>
    </w:p>
    <w:p w14:paraId="1FA571EF" w14:textId="77777777" w:rsidR="00D724DE" w:rsidRPr="00E53143" w:rsidRDefault="00D724DE" w:rsidP="003467E9">
      <w:pPr>
        <w:pStyle w:val="Heading1"/>
        <w:spacing w:before="360" w:after="120" w:line="240" w:lineRule="auto"/>
      </w:pPr>
      <w:r w:rsidRPr="00E53143">
        <w:t>Affidavit of Eligibility</w:t>
      </w:r>
    </w:p>
    <w:p w14:paraId="2910B1BF" w14:textId="77777777" w:rsidR="00387798" w:rsidRDefault="00387798" w:rsidP="00C64C8E">
      <w:pPr>
        <w:autoSpaceDE w:val="0"/>
        <w:autoSpaceDN w:val="0"/>
        <w:adjustRightInd w:val="0"/>
        <w:spacing w:before="0" w:after="40" w:line="240" w:lineRule="auto"/>
        <w:rPr>
          <w:rFonts w:cstheme="minorHAnsi"/>
          <w:color w:val="171717"/>
          <w:sz w:val="22"/>
          <w:szCs w:val="22"/>
        </w:rPr>
      </w:pPr>
      <w:r w:rsidRPr="00C64C8E">
        <w:rPr>
          <w:rFonts w:cstheme="minorHAnsi"/>
          <w:color w:val="171717"/>
          <w:sz w:val="22"/>
          <w:szCs w:val="22"/>
        </w:rPr>
        <w:t>I wish to enroll the following Additional Eligible Adult (AEA):</w:t>
      </w:r>
    </w:p>
    <w:p w14:paraId="007FB0A7" w14:textId="77777777" w:rsidR="00E53143" w:rsidRPr="00C64C8E" w:rsidRDefault="00E53143" w:rsidP="00C64C8E">
      <w:pPr>
        <w:autoSpaceDE w:val="0"/>
        <w:autoSpaceDN w:val="0"/>
        <w:adjustRightInd w:val="0"/>
        <w:spacing w:before="0" w:after="40" w:line="240" w:lineRule="auto"/>
        <w:rPr>
          <w:rFonts w:cstheme="minorHAnsi"/>
          <w:color w:val="171717"/>
          <w:sz w:val="22"/>
          <w:szCs w:val="22"/>
        </w:rPr>
      </w:pPr>
    </w:p>
    <w:p w14:paraId="3DA895FD" w14:textId="77777777" w:rsidR="00B20099" w:rsidRPr="00214AE8" w:rsidRDefault="00B20099" w:rsidP="00DC165E">
      <w:pPr>
        <w:autoSpaceDE w:val="0"/>
        <w:autoSpaceDN w:val="0"/>
        <w:adjustRightInd w:val="0"/>
        <w:spacing w:before="0" w:after="40" w:line="240" w:lineRule="auto"/>
        <w:jc w:val="center"/>
        <w:rPr>
          <w:rFonts w:cstheme="minorHAnsi"/>
          <w:color w:val="171717"/>
          <w:sz w:val="22"/>
          <w:szCs w:val="22"/>
        </w:rPr>
      </w:pPr>
      <w:r w:rsidRPr="00214AE8">
        <w:rPr>
          <w:rFonts w:cstheme="minorHAnsi"/>
          <w:color w:val="171717"/>
          <w:sz w:val="22"/>
          <w:szCs w:val="22"/>
        </w:rPr>
        <w:t xml:space="preserve">Name: </w:t>
      </w:r>
      <w:sdt>
        <w:sdtPr>
          <w:rPr>
            <w:rFonts w:cstheme="minorHAnsi"/>
            <w:color w:val="171717"/>
            <w:sz w:val="22"/>
            <w:szCs w:val="22"/>
          </w:rPr>
          <w:alias w:val="Name"/>
          <w:tag w:val="Click here to enter AEA Name"/>
          <w:id w:val="1794400790"/>
          <w:lock w:val="sdtLocked"/>
          <w:placeholder>
            <w:docPart w:val="2C23E31038CE41FFB16DBDBEE6C45F44"/>
          </w:placeholder>
          <w:showingPlcHdr/>
        </w:sdtPr>
        <w:sdtEndPr/>
        <w:sdtContent>
          <w:r w:rsidRPr="00214AE8">
            <w:rPr>
              <w:rStyle w:val="PlaceholderText"/>
              <w:rFonts w:cstheme="minorHAnsi"/>
              <w:sz w:val="22"/>
              <w:szCs w:val="22"/>
            </w:rPr>
            <w:t>Click here to enter text.</w:t>
          </w:r>
        </w:sdtContent>
      </w:sdt>
    </w:p>
    <w:p w14:paraId="078EE1E8" w14:textId="77777777" w:rsidR="00387798" w:rsidRPr="00214AE8" w:rsidRDefault="00387798" w:rsidP="00DC165E">
      <w:pPr>
        <w:autoSpaceDE w:val="0"/>
        <w:autoSpaceDN w:val="0"/>
        <w:adjustRightInd w:val="0"/>
        <w:spacing w:before="0" w:after="40" w:line="240" w:lineRule="auto"/>
        <w:jc w:val="center"/>
        <w:rPr>
          <w:rFonts w:cstheme="minorHAnsi"/>
          <w:color w:val="171717"/>
          <w:sz w:val="22"/>
          <w:szCs w:val="22"/>
        </w:rPr>
      </w:pPr>
      <w:r w:rsidRPr="00214AE8">
        <w:rPr>
          <w:rFonts w:cstheme="minorHAnsi"/>
          <w:color w:val="171717"/>
          <w:sz w:val="22"/>
          <w:szCs w:val="22"/>
        </w:rPr>
        <w:t>Date of Birth</w:t>
      </w:r>
      <w:r w:rsidR="00B20099" w:rsidRPr="00214AE8">
        <w:rPr>
          <w:rFonts w:cstheme="minorHAnsi"/>
          <w:color w:val="171717"/>
          <w:sz w:val="22"/>
          <w:szCs w:val="22"/>
        </w:rPr>
        <w:t xml:space="preserve">: </w:t>
      </w:r>
      <w:sdt>
        <w:sdtPr>
          <w:rPr>
            <w:rFonts w:cstheme="minorHAnsi"/>
            <w:color w:val="171717"/>
            <w:sz w:val="22"/>
            <w:szCs w:val="22"/>
          </w:rPr>
          <w:alias w:val="Date of Birth"/>
          <w:tag w:val="Click here to enter AEA Date of Birth"/>
          <w:id w:val="1493675232"/>
          <w:lock w:val="sdtLocked"/>
          <w:placeholder>
            <w:docPart w:val="EF0BED4F7DB043CA822E5046B7D6710C"/>
          </w:placeholder>
          <w:showingPlcHdr/>
        </w:sdtPr>
        <w:sdtEndPr/>
        <w:sdtContent>
          <w:r w:rsidR="00B20099" w:rsidRPr="00214AE8">
            <w:rPr>
              <w:rStyle w:val="PlaceholderText"/>
              <w:rFonts w:cstheme="minorHAnsi"/>
              <w:sz w:val="22"/>
              <w:szCs w:val="22"/>
            </w:rPr>
            <w:t>Click here to enter text.</w:t>
          </w:r>
        </w:sdtContent>
      </w:sdt>
    </w:p>
    <w:p w14:paraId="0F7D3BCE" w14:textId="77777777" w:rsidR="00E53143" w:rsidRPr="00C64C8E" w:rsidRDefault="00E53143" w:rsidP="00C64C8E">
      <w:pPr>
        <w:autoSpaceDE w:val="0"/>
        <w:autoSpaceDN w:val="0"/>
        <w:adjustRightInd w:val="0"/>
        <w:spacing w:before="0" w:after="40" w:line="240" w:lineRule="auto"/>
        <w:rPr>
          <w:rFonts w:cstheme="minorHAnsi"/>
          <w:color w:val="171717"/>
          <w:sz w:val="22"/>
          <w:szCs w:val="22"/>
        </w:rPr>
      </w:pPr>
    </w:p>
    <w:p w14:paraId="526BFBFE" w14:textId="77777777" w:rsidR="00ED7458" w:rsidRDefault="00387798" w:rsidP="00730DE5">
      <w:pPr>
        <w:autoSpaceDE w:val="0"/>
        <w:autoSpaceDN w:val="0"/>
        <w:adjustRightInd w:val="0"/>
        <w:spacing w:before="0" w:after="40" w:line="240" w:lineRule="auto"/>
        <w:jc w:val="both"/>
        <w:rPr>
          <w:rFonts w:cstheme="minorHAnsi"/>
          <w:color w:val="171717"/>
          <w:sz w:val="22"/>
          <w:szCs w:val="22"/>
        </w:rPr>
      </w:pPr>
      <w:r w:rsidRPr="00EA7915">
        <w:rPr>
          <w:rFonts w:cstheme="minorHAnsi"/>
          <w:color w:val="171717"/>
          <w:sz w:val="22"/>
          <w:szCs w:val="22"/>
        </w:rPr>
        <w:t xml:space="preserve">I certify that the AEA named above currently meets the AEA eligibility criteria for the program and that the AEA is not disqualified from eligibility described above. I understand that I am responsible for immediately notifying LCC in writing if my AEA ceases to satisfy one or more of the eligibility criteria or if my AEA should </w:t>
      </w:r>
    </w:p>
    <w:p w14:paraId="13AF14EB" w14:textId="77777777" w:rsidR="008A269B" w:rsidRPr="00EA7915" w:rsidRDefault="008A269B" w:rsidP="008A269B">
      <w:pPr>
        <w:autoSpaceDE w:val="0"/>
        <w:autoSpaceDN w:val="0"/>
        <w:adjustRightInd w:val="0"/>
        <w:spacing w:before="0" w:after="40" w:line="240" w:lineRule="auto"/>
        <w:jc w:val="both"/>
        <w:rPr>
          <w:rFonts w:cstheme="minorHAnsi"/>
          <w:b/>
          <w:bCs/>
          <w:iCs/>
          <w:color w:val="171717"/>
          <w:sz w:val="22"/>
          <w:szCs w:val="22"/>
        </w:rPr>
      </w:pPr>
      <w:r w:rsidRPr="00EA7915">
        <w:rPr>
          <w:rFonts w:cstheme="minorHAnsi"/>
          <w:color w:val="171717"/>
          <w:sz w:val="22"/>
          <w:szCs w:val="22"/>
        </w:rPr>
        <w:t xml:space="preserve">be disqualified from eligibility under the program. I understand that I am responsible to complete an enrollment form for my AEA, am responsible for payment of any premium </w:t>
      </w:r>
      <w:r>
        <w:rPr>
          <w:rFonts w:cstheme="minorHAnsi"/>
          <w:color w:val="171717"/>
          <w:sz w:val="22"/>
          <w:szCs w:val="22"/>
        </w:rPr>
        <w:t>deductions</w:t>
      </w:r>
      <w:r w:rsidRPr="00EA7915">
        <w:rPr>
          <w:rFonts w:cstheme="minorHAnsi"/>
          <w:color w:val="171717"/>
          <w:sz w:val="22"/>
          <w:szCs w:val="22"/>
        </w:rPr>
        <w:t xml:space="preserve"> attributable to participation of my AEA in the LCC-sponsored </w:t>
      </w:r>
      <w:r>
        <w:rPr>
          <w:rFonts w:cstheme="minorHAnsi"/>
          <w:color w:val="171717"/>
          <w:sz w:val="22"/>
          <w:szCs w:val="22"/>
        </w:rPr>
        <w:t>medical</w:t>
      </w:r>
      <w:r w:rsidRPr="00EA7915">
        <w:rPr>
          <w:rFonts w:cstheme="minorHAnsi"/>
          <w:color w:val="171717"/>
          <w:sz w:val="22"/>
          <w:szCs w:val="22"/>
        </w:rPr>
        <w:t xml:space="preserve"> plan, and I authorize L</w:t>
      </w:r>
      <w:r>
        <w:rPr>
          <w:rFonts w:cstheme="minorHAnsi"/>
          <w:color w:val="171717"/>
          <w:sz w:val="22"/>
          <w:szCs w:val="22"/>
        </w:rPr>
        <w:t>CC to deduct such premium</w:t>
      </w:r>
      <w:r w:rsidRPr="00EA7915">
        <w:rPr>
          <w:rFonts w:cstheme="minorHAnsi"/>
          <w:color w:val="171717"/>
          <w:sz w:val="22"/>
          <w:szCs w:val="22"/>
        </w:rPr>
        <w:t xml:space="preserve">s from my periodic pay. </w:t>
      </w:r>
    </w:p>
    <w:p w14:paraId="3EC24673" w14:textId="77777777" w:rsidR="008A269B" w:rsidRDefault="008A269B" w:rsidP="008A269B">
      <w:pPr>
        <w:autoSpaceDE w:val="0"/>
        <w:autoSpaceDN w:val="0"/>
        <w:adjustRightInd w:val="0"/>
        <w:spacing w:before="0" w:after="40" w:line="240" w:lineRule="auto"/>
        <w:ind w:right="-720"/>
        <w:rPr>
          <w:rFonts w:cstheme="minorHAnsi"/>
          <w:b/>
          <w:bCs/>
          <w:i/>
          <w:iCs/>
          <w:color w:val="171717"/>
          <w:sz w:val="22"/>
          <w:szCs w:val="22"/>
        </w:rPr>
      </w:pPr>
    </w:p>
    <w:p w14:paraId="3E1583C4" w14:textId="77777777" w:rsidR="008A269B" w:rsidRPr="00C64C8E" w:rsidRDefault="008A269B" w:rsidP="008A269B">
      <w:pPr>
        <w:autoSpaceDE w:val="0"/>
        <w:autoSpaceDN w:val="0"/>
        <w:adjustRightInd w:val="0"/>
        <w:spacing w:before="0" w:after="40" w:line="240" w:lineRule="auto"/>
        <w:ind w:right="-720"/>
        <w:rPr>
          <w:rFonts w:cstheme="minorHAnsi"/>
          <w:b/>
          <w:bCs/>
          <w:i/>
          <w:iCs/>
          <w:color w:val="171717"/>
          <w:sz w:val="22"/>
          <w:szCs w:val="22"/>
        </w:rPr>
      </w:pPr>
      <w:r w:rsidRPr="00C64C8E">
        <w:rPr>
          <w:rFonts w:cstheme="minorHAnsi"/>
          <w:b/>
          <w:bCs/>
          <w:i/>
          <w:iCs/>
          <w:color w:val="171717"/>
          <w:sz w:val="22"/>
          <w:szCs w:val="22"/>
        </w:rPr>
        <w:t>Any information falsified on this document may result in discipline up to and including termination from employment.</w:t>
      </w:r>
    </w:p>
    <w:p w14:paraId="5A6CD5CF" w14:textId="77777777" w:rsidR="008A269B" w:rsidRDefault="008A269B" w:rsidP="008A269B">
      <w:pPr>
        <w:autoSpaceDE w:val="0"/>
        <w:autoSpaceDN w:val="0"/>
        <w:adjustRightInd w:val="0"/>
        <w:spacing w:before="0" w:after="40" w:line="240" w:lineRule="auto"/>
        <w:rPr>
          <w:color w:val="171717"/>
          <w:sz w:val="22"/>
          <w:szCs w:val="22"/>
        </w:rPr>
      </w:pPr>
    </w:p>
    <w:p w14:paraId="1C535DB6" w14:textId="77777777" w:rsidR="00ED7458" w:rsidRDefault="008A269B" w:rsidP="008A269B">
      <w:pPr>
        <w:tabs>
          <w:tab w:val="left" w:leader="underscore" w:pos="6480"/>
          <w:tab w:val="left" w:leader="underscore" w:pos="9648"/>
        </w:tabs>
        <w:autoSpaceDE w:val="0"/>
        <w:autoSpaceDN w:val="0"/>
        <w:adjustRightInd w:val="0"/>
        <w:spacing w:before="0" w:after="40" w:line="240" w:lineRule="auto"/>
        <w:rPr>
          <w:rFonts w:cstheme="minorHAnsi"/>
          <w:color w:val="171717"/>
          <w:sz w:val="22"/>
          <w:szCs w:val="22"/>
        </w:rPr>
      </w:pPr>
      <w:r w:rsidRPr="00EA7915">
        <w:rPr>
          <w:b/>
          <w:color w:val="171717"/>
          <w:sz w:val="22"/>
          <w:szCs w:val="22"/>
        </w:rPr>
        <w:t>Employee Signature:</w:t>
      </w:r>
      <w:r w:rsidRPr="00EA7915">
        <w:rPr>
          <w:b/>
          <w:color w:val="171717"/>
          <w:sz w:val="22"/>
          <w:szCs w:val="22"/>
        </w:rPr>
        <w:tab/>
        <w:t>Date:</w:t>
      </w:r>
      <w:r w:rsidRPr="00EA7915">
        <w:rPr>
          <w:b/>
          <w:color w:val="171717"/>
          <w:sz w:val="22"/>
          <w:szCs w:val="22"/>
        </w:rPr>
        <w:tab/>
      </w:r>
    </w:p>
    <w:p w14:paraId="453EDE17" w14:textId="77777777" w:rsidR="00ED7458" w:rsidRDefault="00ED7458" w:rsidP="00ED7458"/>
    <w:p w14:paraId="17DB036E" w14:textId="77777777" w:rsidR="008A269B" w:rsidRDefault="008A269B" w:rsidP="00ED7458"/>
    <w:p w14:paraId="481F5C17" w14:textId="77777777" w:rsidR="008A269B" w:rsidRDefault="008A269B" w:rsidP="00ED7458"/>
    <w:p w14:paraId="761CC2FB" w14:textId="77777777" w:rsidR="00ED7458" w:rsidRPr="00E53143" w:rsidRDefault="00256041" w:rsidP="00ED7458">
      <w:pPr>
        <w:pStyle w:val="Heading1"/>
        <w:spacing w:before="360" w:after="120" w:line="240" w:lineRule="auto"/>
      </w:pPr>
      <w:r>
        <w:t>TAXATion of Additional Eligible Adult</w:t>
      </w:r>
    </w:p>
    <w:p w14:paraId="48711536" w14:textId="77777777" w:rsidR="00256041" w:rsidRDefault="00256041" w:rsidP="00ED7458">
      <w:r>
        <w:t>LCC employees who are considering applying for Additional Eligible Adult benefits should be aware of the potential tax consequences</w:t>
      </w:r>
      <w:r w:rsidR="00C2467D">
        <w:t xml:space="preserve">. </w:t>
      </w:r>
      <w:r w:rsidR="008823D1">
        <w:t>IRS regulations require LCC to tax the Fair Market Value (FMV) of college-provided health benefits</w:t>
      </w:r>
      <w:r w:rsidR="00C2467D">
        <w:t xml:space="preserve"> for a non-tax qualified dependent</w:t>
      </w:r>
      <w:r w:rsidR="008823D1">
        <w:t xml:space="preserve">.  </w:t>
      </w:r>
    </w:p>
    <w:p w14:paraId="3547A68A" w14:textId="77777777" w:rsidR="00256041" w:rsidRPr="00E53143" w:rsidRDefault="00256041" w:rsidP="00256041">
      <w:pPr>
        <w:pStyle w:val="Heading1"/>
        <w:spacing w:before="360" w:after="120" w:line="240" w:lineRule="auto"/>
      </w:pPr>
      <w:r>
        <w:t>Imputed Income</w:t>
      </w:r>
    </w:p>
    <w:p w14:paraId="18CCC185" w14:textId="77777777" w:rsidR="00E672B7" w:rsidRDefault="005A5623" w:rsidP="005A5623">
      <w:r>
        <w:t xml:space="preserve">If you add a dependent to your medical coverage who does not qualify as a tax dependent under the Internal Revenue Code Section 152, the Fair Market Value (FMV) of the contribution or premium amount toward that coverage is considered a taxable fringe benefit and subject to tax withholding. The calculated fringe benefit is known as ‘imputed income’.  Your taxable income will be increased by the Fair Market Value (FMV) for Federal, State, City, Social Security, and Medicare.  This will increase your payroll tax liability resulting in a lower bi-weekly net pay.   </w:t>
      </w:r>
    </w:p>
    <w:p w14:paraId="0228C670" w14:textId="77777777" w:rsidR="005A5623" w:rsidRDefault="00E672B7" w:rsidP="005A5623">
      <w:r>
        <w:t xml:space="preserve">Imputed income reported as taxable income on your bi-weekly pay, will also be included on your annual W-2 form resulting in the appearance of a higher annual salary than appearing in your employment contract and/or bargaining unit agreement.  </w:t>
      </w:r>
    </w:p>
    <w:p w14:paraId="71517639" w14:textId="0591FCC1" w:rsidR="008D43D9" w:rsidRDefault="008D43D9" w:rsidP="005A5623">
      <w:r>
        <w:t xml:space="preserve">The Fair Market Value (FMV) of the contribution or premium that is considered imputed income will be calculated by figuring the difference </w:t>
      </w:r>
      <w:r w:rsidR="001E672A">
        <w:t>in the employer share of the premium for the plan without the Additional Eligible Adult and the employer share of the premium with the Additional Eligible Adult.  Ex</w:t>
      </w:r>
      <w:r>
        <w:t>ample</w:t>
      </w:r>
      <w:r w:rsidR="001E672A">
        <w:t>s</w:t>
      </w:r>
      <w:r>
        <w:t>:</w:t>
      </w:r>
    </w:p>
    <w:tbl>
      <w:tblPr>
        <w:tblStyle w:val="GridTable6Colorful"/>
        <w:tblW w:w="0" w:type="auto"/>
        <w:tblLook w:val="04A0" w:firstRow="1" w:lastRow="0" w:firstColumn="1" w:lastColumn="0" w:noHBand="0" w:noVBand="1"/>
      </w:tblPr>
      <w:tblGrid>
        <w:gridCol w:w="1665"/>
        <w:gridCol w:w="1568"/>
        <w:gridCol w:w="1430"/>
        <w:gridCol w:w="1659"/>
        <w:gridCol w:w="1681"/>
        <w:gridCol w:w="1635"/>
      </w:tblGrid>
      <w:tr w:rsidR="008D43D9" w14:paraId="1BDED5C0" w14:textId="77777777" w:rsidTr="008D4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5D316A1C" w14:textId="77777777" w:rsidR="008D43D9" w:rsidRDefault="008D43D9" w:rsidP="005A5623">
            <w:r>
              <w:t>Insurance Elected</w:t>
            </w:r>
          </w:p>
        </w:tc>
        <w:tc>
          <w:tcPr>
            <w:tcW w:w="1568" w:type="dxa"/>
          </w:tcPr>
          <w:p w14:paraId="4BC09940" w14:textId="77777777" w:rsidR="008D43D9" w:rsidRDefault="001E672A" w:rsidP="001E672A">
            <w:pPr>
              <w:cnfStyle w:val="100000000000" w:firstRow="1" w:lastRow="0" w:firstColumn="0" w:lastColumn="0" w:oddVBand="0" w:evenVBand="0" w:oddHBand="0" w:evenHBand="0" w:firstRowFirstColumn="0" w:firstRowLastColumn="0" w:lastRowFirstColumn="0" w:lastRowLastColumn="0"/>
            </w:pPr>
            <w:r>
              <w:t>Coverage without Additional Eligible Adult</w:t>
            </w:r>
          </w:p>
        </w:tc>
        <w:tc>
          <w:tcPr>
            <w:tcW w:w="1430" w:type="dxa"/>
          </w:tcPr>
          <w:p w14:paraId="36C4075D" w14:textId="77777777" w:rsidR="008D43D9" w:rsidRDefault="001E672A" w:rsidP="005A5623">
            <w:pPr>
              <w:cnfStyle w:val="100000000000" w:firstRow="1" w:lastRow="0" w:firstColumn="0" w:lastColumn="0" w:oddVBand="0" w:evenVBand="0" w:oddHBand="0" w:evenHBand="0" w:firstRowFirstColumn="0" w:firstRowLastColumn="0" w:lastRowFirstColumn="0" w:lastRowLastColumn="0"/>
            </w:pPr>
            <w:r>
              <w:t>Coverage</w:t>
            </w:r>
            <w:r w:rsidR="008D43D9">
              <w:t xml:space="preserve"> Required with Additional Eligible Adult</w:t>
            </w:r>
          </w:p>
        </w:tc>
        <w:tc>
          <w:tcPr>
            <w:tcW w:w="1659" w:type="dxa"/>
          </w:tcPr>
          <w:p w14:paraId="195B4FD5" w14:textId="376349CB" w:rsidR="008D43D9" w:rsidRDefault="008D43D9" w:rsidP="005A5623">
            <w:pPr>
              <w:cnfStyle w:val="100000000000" w:firstRow="1" w:lastRow="0" w:firstColumn="0" w:lastColumn="0" w:oddVBand="0" w:evenVBand="0" w:oddHBand="0" w:evenHBand="0" w:firstRowFirstColumn="0" w:firstRowLastColumn="0" w:lastRowFirstColumn="0" w:lastRowLastColumn="0"/>
            </w:pPr>
            <w:r>
              <w:t>Employer Share</w:t>
            </w:r>
            <w:r w:rsidR="006F07F3">
              <w:t>*</w:t>
            </w:r>
            <w:r>
              <w:t xml:space="preserve"> for Plan Elected</w:t>
            </w:r>
          </w:p>
        </w:tc>
        <w:tc>
          <w:tcPr>
            <w:tcW w:w="1681" w:type="dxa"/>
          </w:tcPr>
          <w:p w14:paraId="5F125812" w14:textId="7712C364" w:rsidR="008D43D9" w:rsidRDefault="008D43D9" w:rsidP="005A5623">
            <w:pPr>
              <w:cnfStyle w:val="100000000000" w:firstRow="1" w:lastRow="0" w:firstColumn="0" w:lastColumn="0" w:oddVBand="0" w:evenVBand="0" w:oddHBand="0" w:evenHBand="0" w:firstRowFirstColumn="0" w:firstRowLastColumn="0" w:lastRowFirstColumn="0" w:lastRowLastColumn="0"/>
            </w:pPr>
            <w:r>
              <w:t>Employer Share</w:t>
            </w:r>
            <w:r w:rsidR="006F07F3">
              <w:t>*</w:t>
            </w:r>
            <w:r>
              <w:t xml:space="preserve"> for adding Additional Eligible Adult</w:t>
            </w:r>
          </w:p>
        </w:tc>
        <w:tc>
          <w:tcPr>
            <w:tcW w:w="1635" w:type="dxa"/>
          </w:tcPr>
          <w:p w14:paraId="5DC9A57F" w14:textId="77777777" w:rsidR="008D43D9" w:rsidRDefault="008D43D9" w:rsidP="005A5623">
            <w:pPr>
              <w:cnfStyle w:val="100000000000" w:firstRow="1" w:lastRow="0" w:firstColumn="0" w:lastColumn="0" w:oddVBand="0" w:evenVBand="0" w:oddHBand="0" w:evenHBand="0" w:firstRowFirstColumn="0" w:firstRowLastColumn="0" w:lastRowFirstColumn="0" w:lastRowLastColumn="0"/>
            </w:pPr>
            <w:r>
              <w:t>Imputed Income</w:t>
            </w:r>
          </w:p>
        </w:tc>
      </w:tr>
      <w:tr w:rsidR="008D43D9" w14:paraId="49E2F045" w14:textId="77777777" w:rsidTr="008D4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4EBAEDB5" w14:textId="77777777" w:rsidR="008D43D9" w:rsidRDefault="008D43D9" w:rsidP="005A5623">
            <w:r>
              <w:t>PPO Select</w:t>
            </w:r>
          </w:p>
        </w:tc>
        <w:tc>
          <w:tcPr>
            <w:tcW w:w="1568" w:type="dxa"/>
          </w:tcPr>
          <w:p w14:paraId="743E131D" w14:textId="77777777" w:rsidR="008D43D9" w:rsidRDefault="008D43D9" w:rsidP="005A5623">
            <w:pPr>
              <w:cnfStyle w:val="000000100000" w:firstRow="0" w:lastRow="0" w:firstColumn="0" w:lastColumn="0" w:oddVBand="0" w:evenVBand="0" w:oddHBand="1" w:evenHBand="0" w:firstRowFirstColumn="0" w:firstRowLastColumn="0" w:lastRowFirstColumn="0" w:lastRowLastColumn="0"/>
            </w:pPr>
            <w:r>
              <w:t>Single</w:t>
            </w:r>
          </w:p>
        </w:tc>
        <w:tc>
          <w:tcPr>
            <w:tcW w:w="1430" w:type="dxa"/>
          </w:tcPr>
          <w:p w14:paraId="0C7041FD" w14:textId="77777777" w:rsidR="008D43D9" w:rsidRDefault="001E672A" w:rsidP="005A5623">
            <w:pPr>
              <w:cnfStyle w:val="000000100000" w:firstRow="0" w:lastRow="0" w:firstColumn="0" w:lastColumn="0" w:oddVBand="0" w:evenVBand="0" w:oddHBand="1" w:evenHBand="0" w:firstRowFirstColumn="0" w:firstRowLastColumn="0" w:lastRowFirstColumn="0" w:lastRowLastColumn="0"/>
            </w:pPr>
            <w:r>
              <w:t>Two Person</w:t>
            </w:r>
          </w:p>
        </w:tc>
        <w:tc>
          <w:tcPr>
            <w:tcW w:w="1659" w:type="dxa"/>
          </w:tcPr>
          <w:p w14:paraId="49A04387" w14:textId="77777777" w:rsidR="008D43D9" w:rsidRDefault="001E672A" w:rsidP="005A5623">
            <w:pPr>
              <w:cnfStyle w:val="000000100000" w:firstRow="0" w:lastRow="0" w:firstColumn="0" w:lastColumn="0" w:oddVBand="0" w:evenVBand="0" w:oddHBand="1" w:evenHBand="0" w:firstRowFirstColumn="0" w:firstRowLastColumn="0" w:lastRowFirstColumn="0" w:lastRowLastColumn="0"/>
            </w:pPr>
            <w:r>
              <w:t>$616.62</w:t>
            </w:r>
          </w:p>
        </w:tc>
        <w:tc>
          <w:tcPr>
            <w:tcW w:w="1681" w:type="dxa"/>
          </w:tcPr>
          <w:p w14:paraId="244B69DC" w14:textId="77777777" w:rsidR="008D43D9" w:rsidRDefault="001E672A" w:rsidP="005A5623">
            <w:pPr>
              <w:cnfStyle w:val="000000100000" w:firstRow="0" w:lastRow="0" w:firstColumn="0" w:lastColumn="0" w:oddVBand="0" w:evenVBand="0" w:oddHBand="1" w:evenHBand="0" w:firstRowFirstColumn="0" w:firstRowLastColumn="0" w:lastRowFirstColumn="0" w:lastRowLastColumn="0"/>
            </w:pPr>
            <w:r>
              <w:t>$1,313.25</w:t>
            </w:r>
          </w:p>
        </w:tc>
        <w:tc>
          <w:tcPr>
            <w:tcW w:w="1635" w:type="dxa"/>
          </w:tcPr>
          <w:p w14:paraId="7C28F243" w14:textId="77777777" w:rsidR="008D43D9" w:rsidRDefault="001E672A" w:rsidP="005A5623">
            <w:pPr>
              <w:cnfStyle w:val="000000100000" w:firstRow="0" w:lastRow="0" w:firstColumn="0" w:lastColumn="0" w:oddVBand="0" w:evenVBand="0" w:oddHBand="1" w:evenHBand="0" w:firstRowFirstColumn="0" w:firstRowLastColumn="0" w:lastRowFirstColumn="0" w:lastRowLastColumn="0"/>
            </w:pPr>
            <w:r>
              <w:t>$696.63</w:t>
            </w:r>
          </w:p>
        </w:tc>
      </w:tr>
      <w:tr w:rsidR="008D43D9" w14:paraId="3B312180" w14:textId="77777777" w:rsidTr="008D43D9">
        <w:tc>
          <w:tcPr>
            <w:cnfStyle w:val="001000000000" w:firstRow="0" w:lastRow="0" w:firstColumn="1" w:lastColumn="0" w:oddVBand="0" w:evenVBand="0" w:oddHBand="0" w:evenHBand="0" w:firstRowFirstColumn="0" w:firstRowLastColumn="0" w:lastRowFirstColumn="0" w:lastRowLastColumn="0"/>
            <w:tcW w:w="1665" w:type="dxa"/>
          </w:tcPr>
          <w:p w14:paraId="222871B1" w14:textId="77777777" w:rsidR="008D43D9" w:rsidRDefault="001E672A" w:rsidP="005A5623">
            <w:r>
              <w:t>Flexible Blue HDHP</w:t>
            </w:r>
          </w:p>
        </w:tc>
        <w:tc>
          <w:tcPr>
            <w:tcW w:w="1568" w:type="dxa"/>
          </w:tcPr>
          <w:p w14:paraId="049E58FD" w14:textId="77777777" w:rsidR="008D43D9" w:rsidRDefault="001E672A" w:rsidP="005A5623">
            <w:pPr>
              <w:cnfStyle w:val="000000000000" w:firstRow="0" w:lastRow="0" w:firstColumn="0" w:lastColumn="0" w:oddVBand="0" w:evenVBand="0" w:oddHBand="0" w:evenHBand="0" w:firstRowFirstColumn="0" w:firstRowLastColumn="0" w:lastRowFirstColumn="0" w:lastRowLastColumn="0"/>
            </w:pPr>
            <w:r>
              <w:t>Two Person</w:t>
            </w:r>
          </w:p>
        </w:tc>
        <w:tc>
          <w:tcPr>
            <w:tcW w:w="1430" w:type="dxa"/>
          </w:tcPr>
          <w:p w14:paraId="49C8928A" w14:textId="77777777" w:rsidR="008D43D9" w:rsidRDefault="001E672A" w:rsidP="005A5623">
            <w:pPr>
              <w:cnfStyle w:val="000000000000" w:firstRow="0" w:lastRow="0" w:firstColumn="0" w:lastColumn="0" w:oddVBand="0" w:evenVBand="0" w:oddHBand="0" w:evenHBand="0" w:firstRowFirstColumn="0" w:firstRowLastColumn="0" w:lastRowFirstColumn="0" w:lastRowLastColumn="0"/>
            </w:pPr>
            <w:r>
              <w:t>Family</w:t>
            </w:r>
          </w:p>
        </w:tc>
        <w:tc>
          <w:tcPr>
            <w:tcW w:w="1659" w:type="dxa"/>
          </w:tcPr>
          <w:p w14:paraId="2EAA8D8D" w14:textId="77777777" w:rsidR="008D43D9" w:rsidRDefault="001E672A" w:rsidP="005A5623">
            <w:pPr>
              <w:cnfStyle w:val="000000000000" w:firstRow="0" w:lastRow="0" w:firstColumn="0" w:lastColumn="0" w:oddVBand="0" w:evenVBand="0" w:oddHBand="0" w:evenHBand="0" w:firstRowFirstColumn="0" w:firstRowLastColumn="0" w:lastRowFirstColumn="0" w:lastRowLastColumn="0"/>
            </w:pPr>
            <w:r>
              <w:t>$1,333.39</w:t>
            </w:r>
          </w:p>
        </w:tc>
        <w:tc>
          <w:tcPr>
            <w:tcW w:w="1681" w:type="dxa"/>
          </w:tcPr>
          <w:p w14:paraId="600536C2" w14:textId="77777777" w:rsidR="008D43D9" w:rsidRDefault="001E672A" w:rsidP="005A5623">
            <w:pPr>
              <w:cnfStyle w:val="000000000000" w:firstRow="0" w:lastRow="0" w:firstColumn="0" w:lastColumn="0" w:oddVBand="0" w:evenVBand="0" w:oddHBand="0" w:evenHBand="0" w:firstRowFirstColumn="0" w:firstRowLastColumn="0" w:lastRowFirstColumn="0" w:lastRowLastColumn="0"/>
            </w:pPr>
            <w:r>
              <w:t>$1,659.19</w:t>
            </w:r>
          </w:p>
        </w:tc>
        <w:tc>
          <w:tcPr>
            <w:tcW w:w="1635" w:type="dxa"/>
          </w:tcPr>
          <w:p w14:paraId="431296D4" w14:textId="77777777" w:rsidR="008D43D9" w:rsidRDefault="001E672A" w:rsidP="005A5623">
            <w:pPr>
              <w:cnfStyle w:val="000000000000" w:firstRow="0" w:lastRow="0" w:firstColumn="0" w:lastColumn="0" w:oddVBand="0" w:evenVBand="0" w:oddHBand="0" w:evenHBand="0" w:firstRowFirstColumn="0" w:firstRowLastColumn="0" w:lastRowFirstColumn="0" w:lastRowLastColumn="0"/>
            </w:pPr>
            <w:r>
              <w:t>$325.80</w:t>
            </w:r>
          </w:p>
        </w:tc>
      </w:tr>
      <w:tr w:rsidR="001E672A" w14:paraId="0B2B01AE" w14:textId="77777777" w:rsidTr="008D4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66DF0736" w14:textId="77777777" w:rsidR="001E672A" w:rsidRDefault="001E672A" w:rsidP="005A5623">
            <w:r>
              <w:t>Versatile 3 PPO</w:t>
            </w:r>
          </w:p>
        </w:tc>
        <w:tc>
          <w:tcPr>
            <w:tcW w:w="1568" w:type="dxa"/>
          </w:tcPr>
          <w:p w14:paraId="1524890C" w14:textId="77777777" w:rsidR="001E672A" w:rsidRDefault="001E672A" w:rsidP="005A5623">
            <w:pPr>
              <w:cnfStyle w:val="000000100000" w:firstRow="0" w:lastRow="0" w:firstColumn="0" w:lastColumn="0" w:oddVBand="0" w:evenVBand="0" w:oddHBand="1" w:evenHBand="0" w:firstRowFirstColumn="0" w:firstRowLastColumn="0" w:lastRowFirstColumn="0" w:lastRowLastColumn="0"/>
            </w:pPr>
            <w:r>
              <w:t>Single</w:t>
            </w:r>
          </w:p>
        </w:tc>
        <w:tc>
          <w:tcPr>
            <w:tcW w:w="1430" w:type="dxa"/>
          </w:tcPr>
          <w:p w14:paraId="35AA5073" w14:textId="77777777" w:rsidR="001E672A" w:rsidRDefault="001E672A" w:rsidP="005A5623">
            <w:pPr>
              <w:cnfStyle w:val="000000100000" w:firstRow="0" w:lastRow="0" w:firstColumn="0" w:lastColumn="0" w:oddVBand="0" w:evenVBand="0" w:oddHBand="1" w:evenHBand="0" w:firstRowFirstColumn="0" w:firstRowLastColumn="0" w:lastRowFirstColumn="0" w:lastRowLastColumn="0"/>
            </w:pPr>
            <w:r>
              <w:t>Two Person</w:t>
            </w:r>
          </w:p>
        </w:tc>
        <w:tc>
          <w:tcPr>
            <w:tcW w:w="1659" w:type="dxa"/>
          </w:tcPr>
          <w:p w14:paraId="61DD235E" w14:textId="77777777" w:rsidR="001E672A" w:rsidRDefault="001E672A" w:rsidP="005A5623">
            <w:pPr>
              <w:cnfStyle w:val="000000100000" w:firstRow="0" w:lastRow="0" w:firstColumn="0" w:lastColumn="0" w:oddVBand="0" w:evenVBand="0" w:oddHBand="1" w:evenHBand="0" w:firstRowFirstColumn="0" w:firstRowLastColumn="0" w:lastRowFirstColumn="0" w:lastRowLastColumn="0"/>
            </w:pPr>
            <w:r>
              <w:t>$616.63</w:t>
            </w:r>
          </w:p>
        </w:tc>
        <w:tc>
          <w:tcPr>
            <w:tcW w:w="1681" w:type="dxa"/>
          </w:tcPr>
          <w:p w14:paraId="7BA2B3F2" w14:textId="77777777" w:rsidR="001E672A" w:rsidRDefault="001E672A" w:rsidP="005A5623">
            <w:pPr>
              <w:cnfStyle w:val="000000100000" w:firstRow="0" w:lastRow="0" w:firstColumn="0" w:lastColumn="0" w:oddVBand="0" w:evenVBand="0" w:oddHBand="1" w:evenHBand="0" w:firstRowFirstColumn="0" w:firstRowLastColumn="0" w:lastRowFirstColumn="0" w:lastRowLastColumn="0"/>
            </w:pPr>
            <w:r>
              <w:t>$1,330.04</w:t>
            </w:r>
          </w:p>
        </w:tc>
        <w:tc>
          <w:tcPr>
            <w:tcW w:w="1635" w:type="dxa"/>
          </w:tcPr>
          <w:p w14:paraId="2BDE5336" w14:textId="77777777" w:rsidR="001E672A" w:rsidRDefault="001E672A" w:rsidP="005A5623">
            <w:pPr>
              <w:cnfStyle w:val="000000100000" w:firstRow="0" w:lastRow="0" w:firstColumn="0" w:lastColumn="0" w:oddVBand="0" w:evenVBand="0" w:oddHBand="1" w:evenHBand="0" w:firstRowFirstColumn="0" w:firstRowLastColumn="0" w:lastRowFirstColumn="0" w:lastRowLastColumn="0"/>
            </w:pPr>
            <w:r>
              <w:t>$713.41</w:t>
            </w:r>
          </w:p>
        </w:tc>
      </w:tr>
    </w:tbl>
    <w:p w14:paraId="29B962A0" w14:textId="67414C96" w:rsidR="006F07F3" w:rsidRDefault="006F07F3" w:rsidP="00ED7458">
      <w:pPr>
        <w:contextualSpacing/>
      </w:pPr>
      <w:r>
        <w:t>*Please note that the premium</w:t>
      </w:r>
      <w:r w:rsidR="0095779F">
        <w:t xml:space="preserve"> rate</w:t>
      </w:r>
      <w:r>
        <w:t xml:space="preserve">s displayed in this </w:t>
      </w:r>
      <w:r w:rsidR="00396288">
        <w:t>table</w:t>
      </w:r>
      <w:r>
        <w:t xml:space="preserve"> are</w:t>
      </w:r>
      <w:r w:rsidR="0095779F">
        <w:t xml:space="preserve"> for illustrative purposes only. Current premium rates for available medical plans will be communicated by Human Resources</w:t>
      </w:r>
      <w:r w:rsidR="00845CE2">
        <w:t xml:space="preserve"> during your eligible enrollment </w:t>
      </w:r>
      <w:r w:rsidR="006514F0">
        <w:t>period</w:t>
      </w:r>
      <w:r w:rsidR="00845CE2">
        <w:t>.</w:t>
      </w:r>
      <w:r w:rsidR="0095779F">
        <w:t xml:space="preserve"> </w:t>
      </w:r>
    </w:p>
    <w:p w14:paraId="27D31615" w14:textId="77777777" w:rsidR="006F07F3" w:rsidRDefault="006F07F3" w:rsidP="00ED7458">
      <w:pPr>
        <w:contextualSpacing/>
      </w:pPr>
    </w:p>
    <w:p w14:paraId="006662FB" w14:textId="6F8A3480" w:rsidR="00256041" w:rsidRDefault="00E672B7" w:rsidP="00ED7458">
      <w:pPr>
        <w:contextualSpacing/>
      </w:pPr>
      <w:r>
        <w:t xml:space="preserve">If you have questions regarding Imputed Income, please contact the Payroll Department at </w:t>
      </w:r>
      <w:hyperlink r:id="rId8" w:history="1">
        <w:r w:rsidRPr="00442618">
          <w:rPr>
            <w:rStyle w:val="Hyperlink"/>
          </w:rPr>
          <w:t>FS-Payroll@lcc.edu</w:t>
        </w:r>
      </w:hyperlink>
      <w:r>
        <w:t xml:space="preserve"> or (517) 483-1799.</w:t>
      </w:r>
    </w:p>
    <w:p w14:paraId="72EFE03E" w14:textId="77777777" w:rsidR="00ED7458" w:rsidRDefault="00ED7458" w:rsidP="00ED7458"/>
    <w:sectPr w:rsidR="00ED7458" w:rsidSect="00E70F7D">
      <w:head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DC7D" w14:textId="77777777" w:rsidR="0009769D" w:rsidRDefault="0009769D" w:rsidP="00387798">
      <w:r>
        <w:separator/>
      </w:r>
    </w:p>
  </w:endnote>
  <w:endnote w:type="continuationSeparator" w:id="0">
    <w:p w14:paraId="10BEF846" w14:textId="77777777" w:rsidR="0009769D" w:rsidRDefault="0009769D" w:rsidP="0038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990B" w14:textId="77777777" w:rsidR="0009769D" w:rsidRDefault="0009769D" w:rsidP="00DA46F5">
      <w:pPr>
        <w:spacing w:before="0" w:after="0"/>
      </w:pPr>
      <w:r>
        <w:separator/>
      </w:r>
    </w:p>
  </w:footnote>
  <w:footnote w:type="continuationSeparator" w:id="0">
    <w:p w14:paraId="113713D6" w14:textId="77777777" w:rsidR="0009769D" w:rsidRDefault="0009769D" w:rsidP="00387798">
      <w:r>
        <w:continuationSeparator/>
      </w:r>
    </w:p>
  </w:footnote>
  <w:footnote w:id="1">
    <w:p w14:paraId="2EBEC942" w14:textId="77777777" w:rsidR="00387798" w:rsidRDefault="00387798" w:rsidP="00E70F7D">
      <w:pPr>
        <w:pStyle w:val="FootnoteText"/>
        <w:spacing w:before="0" w:after="0" w:line="240" w:lineRule="auto"/>
        <w:contextualSpacing/>
      </w:pPr>
      <w:r w:rsidRPr="00D3626E">
        <w:rPr>
          <w:rStyle w:val="FootnoteReference"/>
        </w:rPr>
        <w:footnoteRef/>
      </w:r>
      <w:r w:rsidRPr="00D3626E">
        <w:t xml:space="preserve"> A former spouse may be eligible as an AEA if after the divorce the former spouse becomes eligible again under the eligibility requirements above.  The period of continuous residence must begin again after the divorce.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596E" w14:textId="77777777" w:rsidR="003C4FC7" w:rsidRDefault="003C4FC7" w:rsidP="003C4FC7">
    <w:pPr>
      <w:spacing w:before="0" w:after="0" w:line="240" w:lineRule="auto"/>
      <w:jc w:val="right"/>
      <w:rPr>
        <w:rFonts w:asciiTheme="majorHAnsi" w:hAnsiTheme="majorHAnsi"/>
        <w:b/>
        <w:i/>
        <w:color w:val="2F5496" w:themeColor="accent5" w:themeShade="BF"/>
        <w:sz w:val="32"/>
      </w:rPr>
    </w:pPr>
    <w:r w:rsidRPr="003C4FC7">
      <w:rPr>
        <w:rFonts w:asciiTheme="majorHAnsi" w:hAnsiTheme="majorHAnsi"/>
        <w:b/>
        <w:noProof/>
        <w:color w:val="000080"/>
        <w:sz w:val="32"/>
        <w:szCs w:val="32"/>
      </w:rPr>
      <w:drawing>
        <wp:anchor distT="0" distB="0" distL="114300" distR="114300" simplePos="0" relativeHeight="251658240" behindDoc="1" locked="0" layoutInCell="1" allowOverlap="1" wp14:anchorId="1363EC50" wp14:editId="7B6D64BE">
          <wp:simplePos x="0" y="0"/>
          <wp:positionH relativeFrom="margin">
            <wp:align>left</wp:align>
          </wp:positionH>
          <wp:positionV relativeFrom="paragraph">
            <wp:posOffset>-1848</wp:posOffset>
          </wp:positionV>
          <wp:extent cx="1802505" cy="865909"/>
          <wp:effectExtent l="0" t="0" r="7620" b="0"/>
          <wp:wrapNone/>
          <wp:docPr id="3" name="Picture 3" descr="LCC Human Resources Logo" title="LCC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 Human Resources Logo.png"/>
                  <pic:cNvPicPr/>
                </pic:nvPicPr>
                <pic:blipFill>
                  <a:blip r:embed="rId1">
                    <a:extLst>
                      <a:ext uri="{28A0092B-C50C-407E-A947-70E740481C1C}">
                        <a14:useLocalDpi xmlns:a14="http://schemas.microsoft.com/office/drawing/2010/main" val="0"/>
                      </a:ext>
                    </a:extLst>
                  </a:blip>
                  <a:stretch>
                    <a:fillRect/>
                  </a:stretch>
                </pic:blipFill>
                <pic:spPr>
                  <a:xfrm>
                    <a:off x="0" y="0"/>
                    <a:ext cx="1802505" cy="865909"/>
                  </a:xfrm>
                  <a:prstGeom prst="rect">
                    <a:avLst/>
                  </a:prstGeom>
                </pic:spPr>
              </pic:pic>
            </a:graphicData>
          </a:graphic>
          <wp14:sizeRelH relativeFrom="page">
            <wp14:pctWidth>0</wp14:pctWidth>
          </wp14:sizeRelH>
          <wp14:sizeRelV relativeFrom="page">
            <wp14:pctHeight>0</wp14:pctHeight>
          </wp14:sizeRelV>
        </wp:anchor>
      </w:drawing>
    </w:r>
  </w:p>
  <w:p w14:paraId="40588D34" w14:textId="77777777" w:rsidR="00B20099" w:rsidRPr="003C4FC7" w:rsidRDefault="00E76240" w:rsidP="003C4FC7">
    <w:pPr>
      <w:spacing w:before="0" w:after="0" w:line="240" w:lineRule="auto"/>
      <w:jc w:val="right"/>
      <w:rPr>
        <w:rFonts w:asciiTheme="majorHAnsi" w:hAnsiTheme="majorHAnsi"/>
        <w:b/>
        <w:i/>
        <w:color w:val="2F5496" w:themeColor="accent5" w:themeShade="BF"/>
        <w:sz w:val="32"/>
      </w:rPr>
    </w:pPr>
    <w:r>
      <w:rPr>
        <w:rFonts w:asciiTheme="majorHAnsi" w:hAnsiTheme="majorHAnsi"/>
        <w:b/>
        <w:i/>
        <w:color w:val="2F5496" w:themeColor="accent5" w:themeShade="BF"/>
        <w:sz w:val="32"/>
      </w:rPr>
      <w:t>Medical</w:t>
    </w:r>
    <w:r w:rsidR="00B20099" w:rsidRPr="003C4FC7">
      <w:rPr>
        <w:rFonts w:asciiTheme="majorHAnsi" w:hAnsiTheme="majorHAnsi"/>
        <w:b/>
        <w:i/>
        <w:color w:val="2F5496" w:themeColor="accent5" w:themeShade="BF"/>
        <w:sz w:val="32"/>
      </w:rPr>
      <w:t xml:space="preserve"> Coverage for Additional Eligible Adult</w:t>
    </w:r>
  </w:p>
  <w:p w14:paraId="202DDF3B" w14:textId="77777777" w:rsidR="00B20099" w:rsidRPr="00E53143" w:rsidRDefault="00B20099" w:rsidP="003C4FC7">
    <w:pPr>
      <w:pStyle w:val="Subtitle"/>
      <w:spacing w:after="0"/>
      <w:jc w:val="right"/>
      <w:rPr>
        <w:sz w:val="22"/>
      </w:rPr>
    </w:pPr>
    <w:r w:rsidRPr="00E53143">
      <w:rPr>
        <w:sz w:val="22"/>
      </w:rPr>
      <w:t>Terms and Affidavit of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5A6D"/>
    <w:multiLevelType w:val="hybridMultilevel"/>
    <w:tmpl w:val="7F964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98"/>
    <w:rsid w:val="0008527A"/>
    <w:rsid w:val="0009769D"/>
    <w:rsid w:val="00127D68"/>
    <w:rsid w:val="001E672A"/>
    <w:rsid w:val="0020360D"/>
    <w:rsid w:val="00204986"/>
    <w:rsid w:val="00214AE8"/>
    <w:rsid w:val="00256041"/>
    <w:rsid w:val="002F7DA6"/>
    <w:rsid w:val="003467E9"/>
    <w:rsid w:val="00363534"/>
    <w:rsid w:val="00387798"/>
    <w:rsid w:val="00396288"/>
    <w:rsid w:val="003C4FC7"/>
    <w:rsid w:val="00486434"/>
    <w:rsid w:val="004D43F0"/>
    <w:rsid w:val="0050114B"/>
    <w:rsid w:val="0057041F"/>
    <w:rsid w:val="005A5623"/>
    <w:rsid w:val="006514F0"/>
    <w:rsid w:val="006F07F3"/>
    <w:rsid w:val="00730DE5"/>
    <w:rsid w:val="007C784C"/>
    <w:rsid w:val="00820CC9"/>
    <w:rsid w:val="00845CE2"/>
    <w:rsid w:val="0086009D"/>
    <w:rsid w:val="008823D1"/>
    <w:rsid w:val="008A269B"/>
    <w:rsid w:val="008B6F85"/>
    <w:rsid w:val="008D43D9"/>
    <w:rsid w:val="00907F2B"/>
    <w:rsid w:val="0095779F"/>
    <w:rsid w:val="00B20099"/>
    <w:rsid w:val="00BC1E2A"/>
    <w:rsid w:val="00C2467D"/>
    <w:rsid w:val="00C6408C"/>
    <w:rsid w:val="00C64C8E"/>
    <w:rsid w:val="00CA304C"/>
    <w:rsid w:val="00D314BE"/>
    <w:rsid w:val="00D3626E"/>
    <w:rsid w:val="00D724DE"/>
    <w:rsid w:val="00DA46F5"/>
    <w:rsid w:val="00DC165E"/>
    <w:rsid w:val="00E53143"/>
    <w:rsid w:val="00E672B7"/>
    <w:rsid w:val="00E70F7D"/>
    <w:rsid w:val="00E76240"/>
    <w:rsid w:val="00EA7915"/>
    <w:rsid w:val="00EC3861"/>
    <w:rsid w:val="00ED7458"/>
    <w:rsid w:val="00F23591"/>
    <w:rsid w:val="00F2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AC6C4"/>
  <w15:chartTrackingRefBased/>
  <w15:docId w15:val="{CA836E3D-308C-4BA3-B9A3-9756F46E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DE"/>
  </w:style>
  <w:style w:type="paragraph" w:styleId="Heading1">
    <w:name w:val="heading 1"/>
    <w:basedOn w:val="Normal"/>
    <w:next w:val="Normal"/>
    <w:link w:val="Heading1Char"/>
    <w:uiPriority w:val="9"/>
    <w:qFormat/>
    <w:rsid w:val="003467E9"/>
    <w:pPr>
      <w:pBdr>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pBdr>
      <w:shd w:val="clear" w:color="auto" w:fill="2F5496" w:themeFill="accent5" w:themeFillShade="BF"/>
      <w:spacing w:after="0"/>
      <w:jc w:val="center"/>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724D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724D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724D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724D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724D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724D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724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24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7798"/>
  </w:style>
  <w:style w:type="character" w:customStyle="1" w:styleId="FootnoteTextChar">
    <w:name w:val="Footnote Text Char"/>
    <w:basedOn w:val="DefaultParagraphFont"/>
    <w:link w:val="FootnoteText"/>
    <w:uiPriority w:val="99"/>
    <w:rsid w:val="00387798"/>
    <w:rPr>
      <w:rFonts w:ascii="Calibri" w:hAnsi="Calibri" w:cs="Times New Roman"/>
      <w:sz w:val="20"/>
      <w:szCs w:val="20"/>
    </w:rPr>
  </w:style>
  <w:style w:type="paragraph" w:styleId="ListParagraph">
    <w:name w:val="List Paragraph"/>
    <w:basedOn w:val="Normal"/>
    <w:uiPriority w:val="34"/>
    <w:qFormat/>
    <w:rsid w:val="00387798"/>
    <w:pPr>
      <w:ind w:left="720"/>
      <w:contextualSpacing/>
    </w:pPr>
  </w:style>
  <w:style w:type="character" w:styleId="FootnoteReference">
    <w:name w:val="footnote reference"/>
    <w:basedOn w:val="DefaultParagraphFont"/>
    <w:uiPriority w:val="99"/>
    <w:unhideWhenUsed/>
    <w:rsid w:val="00387798"/>
    <w:rPr>
      <w:vertAlign w:val="superscript"/>
    </w:rPr>
  </w:style>
  <w:style w:type="paragraph" w:styleId="BalloonText">
    <w:name w:val="Balloon Text"/>
    <w:basedOn w:val="Normal"/>
    <w:link w:val="BalloonTextChar"/>
    <w:uiPriority w:val="99"/>
    <w:semiHidden/>
    <w:unhideWhenUsed/>
    <w:rsid w:val="00F23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1"/>
    <w:rPr>
      <w:rFonts w:ascii="Segoe UI" w:hAnsi="Segoe UI" w:cs="Segoe UI"/>
      <w:sz w:val="18"/>
      <w:szCs w:val="18"/>
    </w:rPr>
  </w:style>
  <w:style w:type="character" w:styleId="PlaceholderText">
    <w:name w:val="Placeholder Text"/>
    <w:basedOn w:val="DefaultParagraphFont"/>
    <w:uiPriority w:val="99"/>
    <w:semiHidden/>
    <w:rsid w:val="00B20099"/>
    <w:rPr>
      <w:color w:val="808080"/>
    </w:rPr>
  </w:style>
  <w:style w:type="paragraph" w:styleId="Header">
    <w:name w:val="header"/>
    <w:basedOn w:val="Normal"/>
    <w:link w:val="HeaderChar"/>
    <w:uiPriority w:val="99"/>
    <w:unhideWhenUsed/>
    <w:rsid w:val="00B20099"/>
    <w:pPr>
      <w:tabs>
        <w:tab w:val="center" w:pos="4680"/>
        <w:tab w:val="right" w:pos="9360"/>
      </w:tabs>
    </w:pPr>
  </w:style>
  <w:style w:type="character" w:customStyle="1" w:styleId="HeaderChar">
    <w:name w:val="Header Char"/>
    <w:basedOn w:val="DefaultParagraphFont"/>
    <w:link w:val="Header"/>
    <w:uiPriority w:val="99"/>
    <w:rsid w:val="00B20099"/>
    <w:rPr>
      <w:rFonts w:ascii="Calibri" w:hAnsi="Calibri" w:cs="Times New Roman"/>
    </w:rPr>
  </w:style>
  <w:style w:type="paragraph" w:styleId="Footer">
    <w:name w:val="footer"/>
    <w:basedOn w:val="Normal"/>
    <w:link w:val="FooterChar"/>
    <w:uiPriority w:val="99"/>
    <w:unhideWhenUsed/>
    <w:rsid w:val="00B20099"/>
    <w:pPr>
      <w:tabs>
        <w:tab w:val="center" w:pos="4680"/>
        <w:tab w:val="right" w:pos="9360"/>
      </w:tabs>
    </w:pPr>
  </w:style>
  <w:style w:type="character" w:customStyle="1" w:styleId="FooterChar">
    <w:name w:val="Footer Char"/>
    <w:basedOn w:val="DefaultParagraphFont"/>
    <w:link w:val="Footer"/>
    <w:uiPriority w:val="99"/>
    <w:rsid w:val="00B20099"/>
    <w:rPr>
      <w:rFonts w:ascii="Calibri" w:hAnsi="Calibri" w:cs="Times New Roman"/>
    </w:rPr>
  </w:style>
  <w:style w:type="paragraph" w:styleId="Subtitle">
    <w:name w:val="Subtitle"/>
    <w:basedOn w:val="Normal"/>
    <w:next w:val="Normal"/>
    <w:link w:val="SubtitleChar"/>
    <w:uiPriority w:val="11"/>
    <w:qFormat/>
    <w:rsid w:val="00D724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24DE"/>
    <w:rPr>
      <w:caps/>
      <w:color w:val="595959" w:themeColor="text1" w:themeTint="A6"/>
      <w:spacing w:val="10"/>
      <w:sz w:val="21"/>
      <w:szCs w:val="21"/>
    </w:rPr>
  </w:style>
  <w:style w:type="paragraph" w:styleId="Title">
    <w:name w:val="Title"/>
    <w:basedOn w:val="Normal"/>
    <w:next w:val="Normal"/>
    <w:link w:val="TitleChar"/>
    <w:uiPriority w:val="10"/>
    <w:qFormat/>
    <w:rsid w:val="00D724DE"/>
    <w:pPr>
      <w:spacing w:before="0" w:after="0"/>
    </w:pPr>
    <w:rPr>
      <w:rFonts w:asciiTheme="majorHAnsi" w:eastAsiaTheme="majorEastAsia" w:hAnsiTheme="majorHAnsi" w:cstheme="majorBidi"/>
      <w:color w:val="5B9BD5" w:themeColor="accent1"/>
      <w:spacing w:val="10"/>
      <w:sz w:val="52"/>
      <w:szCs w:val="52"/>
    </w:rPr>
  </w:style>
  <w:style w:type="character" w:customStyle="1" w:styleId="TitleChar">
    <w:name w:val="Title Char"/>
    <w:basedOn w:val="DefaultParagraphFont"/>
    <w:link w:val="Title"/>
    <w:uiPriority w:val="10"/>
    <w:rsid w:val="00D724DE"/>
    <w:rPr>
      <w:rFonts w:asciiTheme="majorHAnsi" w:eastAsiaTheme="majorEastAsia" w:hAnsiTheme="majorHAnsi" w:cstheme="majorBidi"/>
      <w:color w:val="5B9BD5" w:themeColor="accent1"/>
      <w:spacing w:val="10"/>
      <w:sz w:val="52"/>
      <w:szCs w:val="52"/>
    </w:rPr>
  </w:style>
  <w:style w:type="character" w:customStyle="1" w:styleId="Heading1Char">
    <w:name w:val="Heading 1 Char"/>
    <w:basedOn w:val="DefaultParagraphFont"/>
    <w:link w:val="Heading1"/>
    <w:uiPriority w:val="9"/>
    <w:rsid w:val="003467E9"/>
    <w:rPr>
      <w:caps/>
      <w:color w:val="FFFFFF" w:themeColor="background1"/>
      <w:spacing w:val="15"/>
      <w:sz w:val="22"/>
      <w:szCs w:val="22"/>
      <w:shd w:val="clear" w:color="auto" w:fill="2F5496" w:themeFill="accent5" w:themeFillShade="BF"/>
    </w:rPr>
  </w:style>
  <w:style w:type="character" w:customStyle="1" w:styleId="Heading2Char">
    <w:name w:val="Heading 2 Char"/>
    <w:basedOn w:val="DefaultParagraphFont"/>
    <w:link w:val="Heading2"/>
    <w:uiPriority w:val="9"/>
    <w:semiHidden/>
    <w:rsid w:val="00D724D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724DE"/>
    <w:rPr>
      <w:caps/>
      <w:color w:val="1F4D78" w:themeColor="accent1" w:themeShade="7F"/>
      <w:spacing w:val="15"/>
    </w:rPr>
  </w:style>
  <w:style w:type="character" w:customStyle="1" w:styleId="Heading4Char">
    <w:name w:val="Heading 4 Char"/>
    <w:basedOn w:val="DefaultParagraphFont"/>
    <w:link w:val="Heading4"/>
    <w:uiPriority w:val="9"/>
    <w:semiHidden/>
    <w:rsid w:val="00D724DE"/>
    <w:rPr>
      <w:caps/>
      <w:color w:val="2E74B5" w:themeColor="accent1" w:themeShade="BF"/>
      <w:spacing w:val="10"/>
    </w:rPr>
  </w:style>
  <w:style w:type="character" w:customStyle="1" w:styleId="Heading5Char">
    <w:name w:val="Heading 5 Char"/>
    <w:basedOn w:val="DefaultParagraphFont"/>
    <w:link w:val="Heading5"/>
    <w:uiPriority w:val="9"/>
    <w:semiHidden/>
    <w:rsid w:val="00D724DE"/>
    <w:rPr>
      <w:caps/>
      <w:color w:val="2E74B5" w:themeColor="accent1" w:themeShade="BF"/>
      <w:spacing w:val="10"/>
    </w:rPr>
  </w:style>
  <w:style w:type="character" w:customStyle="1" w:styleId="Heading6Char">
    <w:name w:val="Heading 6 Char"/>
    <w:basedOn w:val="DefaultParagraphFont"/>
    <w:link w:val="Heading6"/>
    <w:uiPriority w:val="9"/>
    <w:semiHidden/>
    <w:rsid w:val="00D724DE"/>
    <w:rPr>
      <w:caps/>
      <w:color w:val="2E74B5" w:themeColor="accent1" w:themeShade="BF"/>
      <w:spacing w:val="10"/>
    </w:rPr>
  </w:style>
  <w:style w:type="character" w:customStyle="1" w:styleId="Heading7Char">
    <w:name w:val="Heading 7 Char"/>
    <w:basedOn w:val="DefaultParagraphFont"/>
    <w:link w:val="Heading7"/>
    <w:uiPriority w:val="9"/>
    <w:semiHidden/>
    <w:rsid w:val="00D724DE"/>
    <w:rPr>
      <w:caps/>
      <w:color w:val="2E74B5" w:themeColor="accent1" w:themeShade="BF"/>
      <w:spacing w:val="10"/>
    </w:rPr>
  </w:style>
  <w:style w:type="character" w:customStyle="1" w:styleId="Heading8Char">
    <w:name w:val="Heading 8 Char"/>
    <w:basedOn w:val="DefaultParagraphFont"/>
    <w:link w:val="Heading8"/>
    <w:uiPriority w:val="9"/>
    <w:semiHidden/>
    <w:rsid w:val="00D724DE"/>
    <w:rPr>
      <w:caps/>
      <w:spacing w:val="10"/>
      <w:sz w:val="18"/>
      <w:szCs w:val="18"/>
    </w:rPr>
  </w:style>
  <w:style w:type="character" w:customStyle="1" w:styleId="Heading9Char">
    <w:name w:val="Heading 9 Char"/>
    <w:basedOn w:val="DefaultParagraphFont"/>
    <w:link w:val="Heading9"/>
    <w:uiPriority w:val="9"/>
    <w:semiHidden/>
    <w:rsid w:val="00D724DE"/>
    <w:rPr>
      <w:i/>
      <w:iCs/>
      <w:caps/>
      <w:spacing w:val="10"/>
      <w:sz w:val="18"/>
      <w:szCs w:val="18"/>
    </w:rPr>
  </w:style>
  <w:style w:type="paragraph" w:styleId="Caption">
    <w:name w:val="caption"/>
    <w:basedOn w:val="Normal"/>
    <w:next w:val="Normal"/>
    <w:uiPriority w:val="35"/>
    <w:semiHidden/>
    <w:unhideWhenUsed/>
    <w:qFormat/>
    <w:rsid w:val="00D724DE"/>
    <w:rPr>
      <w:b/>
      <w:bCs/>
      <w:color w:val="2E74B5" w:themeColor="accent1" w:themeShade="BF"/>
      <w:sz w:val="16"/>
      <w:szCs w:val="16"/>
    </w:rPr>
  </w:style>
  <w:style w:type="character" w:styleId="Strong">
    <w:name w:val="Strong"/>
    <w:uiPriority w:val="22"/>
    <w:qFormat/>
    <w:rsid w:val="00D724DE"/>
    <w:rPr>
      <w:b/>
      <w:bCs/>
    </w:rPr>
  </w:style>
  <w:style w:type="character" w:styleId="Emphasis">
    <w:name w:val="Emphasis"/>
    <w:uiPriority w:val="20"/>
    <w:qFormat/>
    <w:rsid w:val="00D724DE"/>
    <w:rPr>
      <w:caps/>
      <w:color w:val="1F4D78" w:themeColor="accent1" w:themeShade="7F"/>
      <w:spacing w:val="5"/>
    </w:rPr>
  </w:style>
  <w:style w:type="paragraph" w:styleId="NoSpacing">
    <w:name w:val="No Spacing"/>
    <w:uiPriority w:val="1"/>
    <w:qFormat/>
    <w:rsid w:val="00D724DE"/>
    <w:pPr>
      <w:spacing w:after="0" w:line="240" w:lineRule="auto"/>
    </w:pPr>
  </w:style>
  <w:style w:type="paragraph" w:styleId="Quote">
    <w:name w:val="Quote"/>
    <w:basedOn w:val="Normal"/>
    <w:next w:val="Normal"/>
    <w:link w:val="QuoteChar"/>
    <w:uiPriority w:val="29"/>
    <w:qFormat/>
    <w:rsid w:val="00D724DE"/>
    <w:rPr>
      <w:i/>
      <w:iCs/>
      <w:sz w:val="24"/>
      <w:szCs w:val="24"/>
    </w:rPr>
  </w:style>
  <w:style w:type="character" w:customStyle="1" w:styleId="QuoteChar">
    <w:name w:val="Quote Char"/>
    <w:basedOn w:val="DefaultParagraphFont"/>
    <w:link w:val="Quote"/>
    <w:uiPriority w:val="29"/>
    <w:rsid w:val="00D724DE"/>
    <w:rPr>
      <w:i/>
      <w:iCs/>
      <w:sz w:val="24"/>
      <w:szCs w:val="24"/>
    </w:rPr>
  </w:style>
  <w:style w:type="paragraph" w:styleId="IntenseQuote">
    <w:name w:val="Intense Quote"/>
    <w:basedOn w:val="Normal"/>
    <w:next w:val="Normal"/>
    <w:link w:val="IntenseQuoteChar"/>
    <w:uiPriority w:val="30"/>
    <w:qFormat/>
    <w:rsid w:val="00D724D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724DE"/>
    <w:rPr>
      <w:color w:val="5B9BD5" w:themeColor="accent1"/>
      <w:sz w:val="24"/>
      <w:szCs w:val="24"/>
    </w:rPr>
  </w:style>
  <w:style w:type="character" w:styleId="SubtleEmphasis">
    <w:name w:val="Subtle Emphasis"/>
    <w:uiPriority w:val="19"/>
    <w:qFormat/>
    <w:rsid w:val="00D724DE"/>
    <w:rPr>
      <w:i/>
      <w:iCs/>
      <w:color w:val="1F4D78" w:themeColor="accent1" w:themeShade="7F"/>
    </w:rPr>
  </w:style>
  <w:style w:type="character" w:styleId="IntenseEmphasis">
    <w:name w:val="Intense Emphasis"/>
    <w:uiPriority w:val="21"/>
    <w:qFormat/>
    <w:rsid w:val="00D724DE"/>
    <w:rPr>
      <w:b/>
      <w:bCs/>
      <w:caps/>
      <w:color w:val="1F4D78" w:themeColor="accent1" w:themeShade="7F"/>
      <w:spacing w:val="10"/>
    </w:rPr>
  </w:style>
  <w:style w:type="character" w:styleId="SubtleReference">
    <w:name w:val="Subtle Reference"/>
    <w:uiPriority w:val="31"/>
    <w:qFormat/>
    <w:rsid w:val="00D724DE"/>
    <w:rPr>
      <w:b/>
      <w:bCs/>
      <w:color w:val="5B9BD5" w:themeColor="accent1"/>
    </w:rPr>
  </w:style>
  <w:style w:type="character" w:styleId="IntenseReference">
    <w:name w:val="Intense Reference"/>
    <w:uiPriority w:val="32"/>
    <w:qFormat/>
    <w:rsid w:val="00D724DE"/>
    <w:rPr>
      <w:b/>
      <w:bCs/>
      <w:i/>
      <w:iCs/>
      <w:caps/>
      <w:color w:val="5B9BD5" w:themeColor="accent1"/>
    </w:rPr>
  </w:style>
  <w:style w:type="character" w:styleId="BookTitle">
    <w:name w:val="Book Title"/>
    <w:uiPriority w:val="33"/>
    <w:qFormat/>
    <w:rsid w:val="00D724DE"/>
    <w:rPr>
      <w:b/>
      <w:bCs/>
      <w:i/>
      <w:iCs/>
      <w:spacing w:val="0"/>
    </w:rPr>
  </w:style>
  <w:style w:type="paragraph" w:styleId="TOCHeading">
    <w:name w:val="TOC Heading"/>
    <w:basedOn w:val="Heading1"/>
    <w:next w:val="Normal"/>
    <w:uiPriority w:val="39"/>
    <w:semiHidden/>
    <w:unhideWhenUsed/>
    <w:qFormat/>
    <w:rsid w:val="00D724DE"/>
    <w:pPr>
      <w:outlineLvl w:val="9"/>
    </w:pPr>
  </w:style>
  <w:style w:type="paragraph" w:styleId="EndnoteText">
    <w:name w:val="endnote text"/>
    <w:basedOn w:val="Normal"/>
    <w:link w:val="EndnoteTextChar"/>
    <w:uiPriority w:val="99"/>
    <w:semiHidden/>
    <w:unhideWhenUsed/>
    <w:rsid w:val="00DA46F5"/>
    <w:pPr>
      <w:spacing w:before="0" w:after="0" w:line="240" w:lineRule="auto"/>
    </w:pPr>
  </w:style>
  <w:style w:type="character" w:customStyle="1" w:styleId="EndnoteTextChar">
    <w:name w:val="Endnote Text Char"/>
    <w:basedOn w:val="DefaultParagraphFont"/>
    <w:link w:val="EndnoteText"/>
    <w:uiPriority w:val="99"/>
    <w:semiHidden/>
    <w:rsid w:val="00DA46F5"/>
  </w:style>
  <w:style w:type="character" w:styleId="EndnoteReference">
    <w:name w:val="endnote reference"/>
    <w:basedOn w:val="DefaultParagraphFont"/>
    <w:uiPriority w:val="99"/>
    <w:semiHidden/>
    <w:unhideWhenUsed/>
    <w:rsid w:val="00DA46F5"/>
    <w:rPr>
      <w:vertAlign w:val="superscript"/>
    </w:rPr>
  </w:style>
  <w:style w:type="character" w:styleId="Hyperlink">
    <w:name w:val="Hyperlink"/>
    <w:basedOn w:val="DefaultParagraphFont"/>
    <w:uiPriority w:val="99"/>
    <w:unhideWhenUsed/>
    <w:rsid w:val="00E672B7"/>
    <w:rPr>
      <w:color w:val="0563C1" w:themeColor="hyperlink"/>
      <w:u w:val="single"/>
    </w:rPr>
  </w:style>
  <w:style w:type="character" w:styleId="UnresolvedMention">
    <w:name w:val="Unresolved Mention"/>
    <w:basedOn w:val="DefaultParagraphFont"/>
    <w:uiPriority w:val="99"/>
    <w:semiHidden/>
    <w:unhideWhenUsed/>
    <w:rsid w:val="00E672B7"/>
    <w:rPr>
      <w:color w:val="605E5C"/>
      <w:shd w:val="clear" w:color="auto" w:fill="E1DFDD"/>
    </w:rPr>
  </w:style>
  <w:style w:type="table" w:styleId="TableGrid">
    <w:name w:val="Table Grid"/>
    <w:basedOn w:val="TableNormal"/>
    <w:uiPriority w:val="39"/>
    <w:rsid w:val="008D43D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8D43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D43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Payroll@l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3E31038CE41FFB16DBDBEE6C45F44"/>
        <w:category>
          <w:name w:val="General"/>
          <w:gallery w:val="placeholder"/>
        </w:category>
        <w:types>
          <w:type w:val="bbPlcHdr"/>
        </w:types>
        <w:behaviors>
          <w:behavior w:val="content"/>
        </w:behaviors>
        <w:guid w:val="{28D26460-326F-4ACE-B4BB-B8B5D993CE9A}"/>
      </w:docPartPr>
      <w:docPartBody>
        <w:p w:rsidR="00FE404C" w:rsidRDefault="006F421A" w:rsidP="006F421A">
          <w:pPr>
            <w:pStyle w:val="2C23E31038CE41FFB16DBDBEE6C45F44"/>
          </w:pPr>
          <w:r>
            <w:rPr>
              <w:rStyle w:val="PlaceholderText"/>
            </w:rPr>
            <w:t xml:space="preserve">Click </w:t>
          </w:r>
          <w:r w:rsidRPr="00C95471">
            <w:rPr>
              <w:rStyle w:val="PlaceholderText"/>
            </w:rPr>
            <w:t>here to enter text.</w:t>
          </w:r>
        </w:p>
      </w:docPartBody>
    </w:docPart>
    <w:docPart>
      <w:docPartPr>
        <w:name w:val="EF0BED4F7DB043CA822E5046B7D6710C"/>
        <w:category>
          <w:name w:val="General"/>
          <w:gallery w:val="placeholder"/>
        </w:category>
        <w:types>
          <w:type w:val="bbPlcHdr"/>
        </w:types>
        <w:behaviors>
          <w:behavior w:val="content"/>
        </w:behaviors>
        <w:guid w:val="{BDAFE17F-0FC4-44A9-8D46-A5083A009C4A}"/>
      </w:docPartPr>
      <w:docPartBody>
        <w:p w:rsidR="00FE404C" w:rsidRDefault="006F421A" w:rsidP="006F421A">
          <w:pPr>
            <w:pStyle w:val="EF0BED4F7DB043CA822E5046B7D6710C"/>
          </w:pPr>
          <w:r>
            <w:rPr>
              <w:rStyle w:val="PlaceholderText"/>
            </w:rPr>
            <w:t xml:space="preserve">Click </w:t>
          </w:r>
          <w:r w:rsidRPr="00C95471">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A"/>
    <w:rsid w:val="006F421A"/>
    <w:rsid w:val="00BE232D"/>
    <w:rsid w:val="00FE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21A"/>
    <w:rPr>
      <w:color w:val="808080"/>
    </w:rPr>
  </w:style>
  <w:style w:type="paragraph" w:customStyle="1" w:styleId="2C23E31038CE41FFB16DBDBEE6C45F44">
    <w:name w:val="2C23E31038CE41FFB16DBDBEE6C45F44"/>
    <w:rsid w:val="006F421A"/>
    <w:pPr>
      <w:spacing w:after="0" w:line="240" w:lineRule="auto"/>
    </w:pPr>
    <w:rPr>
      <w:rFonts w:ascii="Calibri" w:eastAsiaTheme="minorHAnsi" w:hAnsi="Calibri" w:cs="Times New Roman"/>
    </w:rPr>
  </w:style>
  <w:style w:type="paragraph" w:customStyle="1" w:styleId="EF0BED4F7DB043CA822E5046B7D6710C">
    <w:name w:val="EF0BED4F7DB043CA822E5046B7D6710C"/>
    <w:rsid w:val="006F421A"/>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9DBB-137B-4A5D-A346-197AE47F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Stroebel</dc:creator>
  <cp:keywords/>
  <dc:description/>
  <cp:lastModifiedBy>Mara Fisher</cp:lastModifiedBy>
  <cp:revision>10</cp:revision>
  <cp:lastPrinted>2019-05-22T13:50:00Z</cp:lastPrinted>
  <dcterms:created xsi:type="dcterms:W3CDTF">2023-10-15T21:34:00Z</dcterms:created>
  <dcterms:modified xsi:type="dcterms:W3CDTF">2023-10-15T21:59:00Z</dcterms:modified>
</cp:coreProperties>
</file>