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77DB" w14:textId="77777777" w:rsidR="003372BD" w:rsidRDefault="00732686" w:rsidP="003372BD">
      <w:pPr>
        <w:spacing w:after="0"/>
        <w:jc w:val="center"/>
        <w:rPr>
          <w:rFonts w:ascii="Verdana" w:hAnsi="Verdana"/>
          <w:b/>
          <w:color w:val="002060"/>
          <w:sz w:val="44"/>
        </w:rPr>
      </w:pPr>
      <w:r w:rsidRPr="00732686">
        <w:rPr>
          <w:rFonts w:ascii="Verdana" w:hAnsi="Verdana"/>
          <w:noProof/>
          <w:sz w:val="48"/>
        </w:rPr>
        <w:drawing>
          <wp:inline distT="0" distB="0" distL="0" distR="0" wp14:anchorId="4E8A0F6E" wp14:editId="66F5341C">
            <wp:extent cx="2603500" cy="596964"/>
            <wp:effectExtent l="0" t="0" r="6350" b="0"/>
            <wp:docPr id="1" name="Picture 1" descr="Lansing Community College/Health and Human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sing Community College/Health and Human Services Division Logo"/>
                    <pic:cNvPicPr/>
                  </pic:nvPicPr>
                  <pic:blipFill rotWithShape="1">
                    <a:blip r:embed="rId5" cstate="print">
                      <a:extLst>
                        <a:ext uri="{28A0092B-C50C-407E-A947-70E740481C1C}">
                          <a14:useLocalDpi xmlns:a14="http://schemas.microsoft.com/office/drawing/2010/main" val="0"/>
                        </a:ext>
                      </a:extLst>
                    </a:blip>
                    <a:srcRect t="22364"/>
                    <a:stretch/>
                  </pic:blipFill>
                  <pic:spPr bwMode="auto">
                    <a:xfrm>
                      <a:off x="0" y="0"/>
                      <a:ext cx="2612455" cy="599017"/>
                    </a:xfrm>
                    <a:prstGeom prst="rect">
                      <a:avLst/>
                    </a:prstGeom>
                    <a:ln>
                      <a:noFill/>
                    </a:ln>
                    <a:extLst>
                      <a:ext uri="{53640926-AAD7-44D8-BBD7-CCE9431645EC}">
                        <a14:shadowObscured xmlns:a14="http://schemas.microsoft.com/office/drawing/2010/main"/>
                      </a:ext>
                    </a:extLst>
                  </pic:spPr>
                </pic:pic>
              </a:graphicData>
            </a:graphic>
          </wp:inline>
        </w:drawing>
      </w:r>
    </w:p>
    <w:p w14:paraId="4CB2DD08" w14:textId="50207508" w:rsidR="003D3295" w:rsidRDefault="00732686" w:rsidP="00016B18">
      <w:pPr>
        <w:pStyle w:val="Heading1"/>
        <w:jc w:val="center"/>
      </w:pPr>
      <w:r w:rsidRPr="00732686">
        <w:t xml:space="preserve">HHS </w:t>
      </w:r>
      <w:r w:rsidR="002A159E">
        <w:t>Acce</w:t>
      </w:r>
      <w:r w:rsidR="00EE0739">
        <w:t>s</w:t>
      </w:r>
      <w:r w:rsidR="002A159E">
        <w:t xml:space="preserve">sibility </w:t>
      </w:r>
      <w:r w:rsidR="00A551AC">
        <w:t>Guide</w:t>
      </w:r>
    </w:p>
    <w:p w14:paraId="00F17D1B" w14:textId="1A8D2209" w:rsidR="00432445" w:rsidRDefault="00432445" w:rsidP="00936101">
      <w:pPr>
        <w:jc w:val="both"/>
        <w:rPr>
          <w:i/>
        </w:rPr>
      </w:pPr>
    </w:p>
    <w:p w14:paraId="335F7EB9" w14:textId="2889519F" w:rsidR="002B4F6B" w:rsidRPr="002B4F6B" w:rsidRDefault="000773E0" w:rsidP="00936101">
      <w:pPr>
        <w:jc w:val="both"/>
        <w:rPr>
          <w:rFonts w:cs="Tahoma"/>
          <w:iCs/>
          <w:szCs w:val="24"/>
        </w:rPr>
      </w:pPr>
      <w:r>
        <w:rPr>
          <w:rFonts w:cs="Tahoma"/>
          <w:iCs/>
          <w:szCs w:val="24"/>
        </w:rPr>
        <w:t>This</w:t>
      </w:r>
      <w:r w:rsidR="002B4F6B">
        <w:rPr>
          <w:rFonts w:cs="Tahoma"/>
          <w:iCs/>
          <w:szCs w:val="24"/>
        </w:rPr>
        <w:t xml:space="preserve"> </w:t>
      </w:r>
      <w:r w:rsidR="00A551AC">
        <w:rPr>
          <w:rFonts w:cs="Tahoma"/>
          <w:iCs/>
          <w:szCs w:val="24"/>
        </w:rPr>
        <w:t>guide</w:t>
      </w:r>
      <w:r w:rsidR="002B4F6B">
        <w:rPr>
          <w:rFonts w:cs="Tahoma"/>
          <w:iCs/>
          <w:szCs w:val="24"/>
        </w:rPr>
        <w:t xml:space="preserve"> </w:t>
      </w:r>
      <w:r>
        <w:rPr>
          <w:rFonts w:cs="Tahoma"/>
          <w:iCs/>
          <w:szCs w:val="24"/>
        </w:rPr>
        <w:t xml:space="preserve">provides </w:t>
      </w:r>
      <w:r w:rsidR="002B4F6B">
        <w:rPr>
          <w:rFonts w:cs="Tahoma"/>
          <w:iCs/>
          <w:szCs w:val="24"/>
        </w:rPr>
        <w:t>information and helpful links to assist in navigating accessibility standards</w:t>
      </w:r>
      <w:r w:rsidR="00A551AC">
        <w:rPr>
          <w:rFonts w:cs="Tahoma"/>
          <w:iCs/>
          <w:szCs w:val="24"/>
        </w:rPr>
        <w:t xml:space="preserve"> for created content at LCC. For the purpose of this guide, </w:t>
      </w:r>
      <w:r>
        <w:rPr>
          <w:rFonts w:cs="Tahoma"/>
          <w:iCs/>
          <w:szCs w:val="24"/>
        </w:rPr>
        <w:t>a</w:t>
      </w:r>
      <w:r w:rsidR="00A551AC">
        <w:rPr>
          <w:rFonts w:cs="Tahoma"/>
          <w:iCs/>
          <w:szCs w:val="24"/>
        </w:rPr>
        <w:t>ccessibility</w:t>
      </w:r>
      <w:r>
        <w:rPr>
          <w:rFonts w:cs="Tahoma"/>
          <w:iCs/>
          <w:szCs w:val="24"/>
        </w:rPr>
        <w:t xml:space="preserve"> is defined</w:t>
      </w:r>
      <w:r w:rsidR="00A551AC">
        <w:rPr>
          <w:rFonts w:cs="Tahoma"/>
          <w:iCs/>
          <w:szCs w:val="24"/>
        </w:rPr>
        <w:t xml:space="preserve"> the inclusive design of documents (such as forms, fliers, handbooks, etc.) </w:t>
      </w:r>
      <w:r w:rsidR="00077BC6">
        <w:rPr>
          <w:rFonts w:cs="Tahoma"/>
          <w:iCs/>
          <w:szCs w:val="24"/>
        </w:rPr>
        <w:t xml:space="preserve">and </w:t>
      </w:r>
      <w:r w:rsidR="00A551AC">
        <w:rPr>
          <w:rFonts w:cs="Tahoma"/>
          <w:iCs/>
          <w:szCs w:val="24"/>
        </w:rPr>
        <w:t>digital content</w:t>
      </w:r>
      <w:r w:rsidR="00AA4104">
        <w:rPr>
          <w:rFonts w:cs="Tahoma"/>
          <w:iCs/>
          <w:szCs w:val="24"/>
        </w:rPr>
        <w:t xml:space="preserve"> (such as files,</w:t>
      </w:r>
      <w:r w:rsidR="00A551AC">
        <w:rPr>
          <w:rFonts w:cs="Tahoma"/>
          <w:iCs/>
          <w:szCs w:val="24"/>
        </w:rPr>
        <w:t xml:space="preserve"> </w:t>
      </w:r>
      <w:r w:rsidR="00AC7AF3">
        <w:rPr>
          <w:rFonts w:cs="Tahoma"/>
          <w:iCs/>
          <w:szCs w:val="24"/>
        </w:rPr>
        <w:t xml:space="preserve">emails, </w:t>
      </w:r>
      <w:r w:rsidR="00A551AC">
        <w:rPr>
          <w:rFonts w:cs="Tahoma"/>
          <w:iCs/>
          <w:szCs w:val="24"/>
        </w:rPr>
        <w:t>videos and web pages</w:t>
      </w:r>
      <w:r w:rsidR="00AF7567">
        <w:rPr>
          <w:rFonts w:cs="Tahoma"/>
          <w:iCs/>
          <w:szCs w:val="24"/>
        </w:rPr>
        <w:t>)</w:t>
      </w:r>
      <w:r w:rsidR="00A551AC">
        <w:rPr>
          <w:rFonts w:cs="Tahoma"/>
          <w:iCs/>
          <w:szCs w:val="24"/>
        </w:rPr>
        <w:t>.</w:t>
      </w:r>
      <w:r w:rsidR="00AC7AF3">
        <w:rPr>
          <w:rFonts w:cs="Tahoma"/>
          <w:iCs/>
          <w:szCs w:val="24"/>
        </w:rPr>
        <w:t xml:space="preserve"> Accessibility isn’t just for students but also for clinic guests and coworkers too. </w:t>
      </w:r>
      <w:r>
        <w:rPr>
          <w:rFonts w:cs="Tahoma"/>
          <w:iCs/>
          <w:szCs w:val="24"/>
        </w:rPr>
        <w:t>Materials intended to be shared with others must be made accessible.</w:t>
      </w:r>
    </w:p>
    <w:p w14:paraId="561C98DA" w14:textId="6453A53E" w:rsidR="002B4F6B" w:rsidRDefault="002B4F6B" w:rsidP="00936101">
      <w:pPr>
        <w:jc w:val="both"/>
        <w:rPr>
          <w:iCs/>
        </w:rPr>
      </w:pPr>
    </w:p>
    <w:p w14:paraId="77F7343B" w14:textId="3A8F1815" w:rsidR="00A551AC" w:rsidRDefault="00A551AC" w:rsidP="00692898">
      <w:pPr>
        <w:pStyle w:val="Heading2"/>
        <w:shd w:val="clear" w:color="auto" w:fill="DEEAF6" w:themeFill="accent1" w:themeFillTint="33"/>
        <w:spacing w:before="0"/>
      </w:pPr>
      <w:r>
        <w:t>Why it matters</w:t>
      </w:r>
    </w:p>
    <w:p w14:paraId="407FCB2C" w14:textId="77777777" w:rsidR="00AC7AF3" w:rsidRDefault="00AC7AF3" w:rsidP="00692898">
      <w:pPr>
        <w:jc w:val="both"/>
        <w:rPr>
          <w:iCs/>
        </w:rPr>
      </w:pPr>
    </w:p>
    <w:p w14:paraId="30501FD8" w14:textId="3EAF8947" w:rsidR="00503A64" w:rsidRPr="00503A64" w:rsidRDefault="00AC7AF3" w:rsidP="00692898">
      <w:pPr>
        <w:jc w:val="both"/>
      </w:pPr>
      <w:r w:rsidRPr="00AC7AF3">
        <w:rPr>
          <w:rFonts w:cs="Tahoma"/>
          <w:iCs/>
        </w:rPr>
        <w:t xml:space="preserve">Accessibility </w:t>
      </w:r>
      <w:r w:rsidRPr="00AC7AF3">
        <w:rPr>
          <w:rStyle w:val="yadgie"/>
          <w:rFonts w:cs="Tahoma"/>
        </w:rPr>
        <w:t>removes barriers for people with physical, visual, auditory, or cognitive disabilities, enabling independent access and interaction.</w:t>
      </w:r>
      <w:r w:rsidRPr="00AC7AF3">
        <w:rPr>
          <w:rFonts w:cs="Tahoma"/>
        </w:rPr>
        <w:t xml:space="preserve"> </w:t>
      </w:r>
      <w:r>
        <w:t>Accessible design not only fosters independence and equality, but it also benefits the wider population, including aging individuals and people with situational limitations (for example trying to read a phone in bright sunlight).</w:t>
      </w:r>
      <w:r w:rsidR="00503A64">
        <w:t xml:space="preserve"> Accessibility is</w:t>
      </w:r>
      <w:r w:rsidR="00713EA2">
        <w:t>n’t</w:t>
      </w:r>
      <w:r w:rsidR="00503A64">
        <w:t xml:space="preserve"> </w:t>
      </w:r>
      <w:r w:rsidR="00713EA2">
        <w:t>just a good idea that LCC adopted to provide a more inclusive environment</w:t>
      </w:r>
      <w:r w:rsidR="00E15E96">
        <w:t xml:space="preserve"> as certain types of content are now</w:t>
      </w:r>
      <w:r w:rsidR="00503A64">
        <w:t xml:space="preserve"> mandated by </w:t>
      </w:r>
      <w:r w:rsidR="00713EA2">
        <w:t xml:space="preserve">federal </w:t>
      </w:r>
      <w:r w:rsidR="00503A64">
        <w:t>law</w:t>
      </w:r>
      <w:r w:rsidR="00713EA2">
        <w:t>.</w:t>
      </w:r>
    </w:p>
    <w:p w14:paraId="010E7C16" w14:textId="00CEEA20" w:rsidR="00AC7AF3" w:rsidRDefault="00E15E96" w:rsidP="00E15E96">
      <w:pPr>
        <w:jc w:val="center"/>
        <w:rPr>
          <w:iCs/>
        </w:rPr>
      </w:pPr>
      <w:r>
        <w:rPr>
          <w:noProof/>
        </w:rPr>
        <w:drawing>
          <wp:inline distT="0" distB="0" distL="0" distR="0" wp14:anchorId="1CF86E25" wp14:editId="692167BF">
            <wp:extent cx="6858000" cy="1362710"/>
            <wp:effectExtent l="0" t="0" r="0" b="8890"/>
            <wp:docPr id="9" name="Picture 9" descr="Accessibility icons that demonstrate some of the disabilities people can face such as mobility, sight, hearing, touch and cognitive impair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ccessibility icons that demonstrate some of the disabilities people can face such as mobility, sight, hearing, touch and cognitive impairments."/>
                    <pic:cNvPicPr>
                      <a:picLocks noChangeAspect="1" noChangeArrowheads="1"/>
                    </pic:cNvPicPr>
                  </pic:nvPicPr>
                  <pic:blipFill rotWithShape="1">
                    <a:blip r:embed="rId6">
                      <a:extLst>
                        <a:ext uri="{28A0092B-C50C-407E-A947-70E740481C1C}">
                          <a14:useLocalDpi xmlns:a14="http://schemas.microsoft.com/office/drawing/2010/main" val="0"/>
                        </a:ext>
                      </a:extLst>
                    </a:blip>
                    <a:srcRect t="31004"/>
                    <a:stretch/>
                  </pic:blipFill>
                  <pic:spPr bwMode="auto">
                    <a:xfrm>
                      <a:off x="0" y="0"/>
                      <a:ext cx="6858000" cy="1362710"/>
                    </a:xfrm>
                    <a:prstGeom prst="rect">
                      <a:avLst/>
                    </a:prstGeom>
                    <a:noFill/>
                    <a:ln>
                      <a:noFill/>
                    </a:ln>
                    <a:extLst>
                      <a:ext uri="{53640926-AAD7-44D8-BBD7-CCE9431645EC}">
                        <a14:shadowObscured xmlns:a14="http://schemas.microsoft.com/office/drawing/2010/main"/>
                      </a:ext>
                    </a:extLst>
                  </pic:spPr>
                </pic:pic>
              </a:graphicData>
            </a:graphic>
          </wp:inline>
        </w:drawing>
      </w:r>
    </w:p>
    <w:p w14:paraId="45D47707" w14:textId="0D25AD79" w:rsidR="00503A64" w:rsidRDefault="00FC56B0" w:rsidP="00936101">
      <w:pPr>
        <w:jc w:val="both"/>
        <w:rPr>
          <w:rFonts w:cs="Tahoma"/>
          <w:color w:val="2E2E2A"/>
        </w:rPr>
      </w:pPr>
      <w:hyperlink r:id="rId7" w:anchor="highlights-of-the-requirements-in-the-rule" w:history="1">
        <w:r w:rsidR="00503A64" w:rsidRPr="00713EA2">
          <w:rPr>
            <w:rStyle w:val="Hyperlink"/>
            <w:iCs/>
          </w:rPr>
          <w:t xml:space="preserve">Title II of the </w:t>
        </w:r>
        <w:r w:rsidR="00713EA2" w:rsidRPr="00713EA2">
          <w:rPr>
            <w:rStyle w:val="Hyperlink"/>
          </w:rPr>
          <w:t>Americans with Disabilities Act (</w:t>
        </w:r>
        <w:r w:rsidR="00503A64" w:rsidRPr="00713EA2">
          <w:rPr>
            <w:rStyle w:val="Hyperlink"/>
            <w:iCs/>
          </w:rPr>
          <w:t>ADA</w:t>
        </w:r>
        <w:r w:rsidR="00713EA2" w:rsidRPr="00713EA2">
          <w:rPr>
            <w:rStyle w:val="Hyperlink"/>
            <w:iCs/>
          </w:rPr>
          <w:t>)</w:t>
        </w:r>
      </w:hyperlink>
      <w:r w:rsidR="00503A64">
        <w:rPr>
          <w:iCs/>
        </w:rPr>
        <w:t xml:space="preserve"> </w:t>
      </w:r>
      <w:r w:rsidR="00503A64" w:rsidRPr="00503A64">
        <w:rPr>
          <w:iCs/>
        </w:rPr>
        <w:t xml:space="preserve">requires state and local governments to </w:t>
      </w:r>
      <w:r w:rsidR="000773E0">
        <w:rPr>
          <w:iCs/>
        </w:rPr>
        <w:t>en</w:t>
      </w:r>
      <w:r w:rsidR="00503A64" w:rsidRPr="00503A64">
        <w:rPr>
          <w:iCs/>
        </w:rPr>
        <w:t xml:space="preserve">sure that their services, programs, and activities are accessible to people with disabilities. </w:t>
      </w:r>
      <w:r w:rsidR="00503A64" w:rsidRPr="00503A64">
        <w:rPr>
          <w:rFonts w:cs="Tahoma"/>
          <w:color w:val="2E2E2A"/>
        </w:rPr>
        <w:t>This includes services, programs, and activities that state and local governments offer online and through mobile apps. Examples of state and local governments include</w:t>
      </w:r>
      <w:r w:rsidR="00713EA2">
        <w:rPr>
          <w:rFonts w:cs="Tahoma"/>
          <w:color w:val="2E2E2A"/>
        </w:rPr>
        <w:t xml:space="preserve"> public</w:t>
      </w:r>
      <w:r w:rsidR="00503A64" w:rsidRPr="00503A64">
        <w:rPr>
          <w:rFonts w:cs="Tahoma"/>
          <w:color w:val="2E2E2A"/>
        </w:rPr>
        <w:t xml:space="preserve"> schools, </w:t>
      </w:r>
      <w:r w:rsidR="00503A64" w:rsidRPr="00713EA2">
        <w:rPr>
          <w:rFonts w:cs="Tahoma"/>
          <w:color w:val="2E2E2A"/>
          <w:u w:val="single"/>
        </w:rPr>
        <w:t>community colleges</w:t>
      </w:r>
      <w:r w:rsidR="00503A64" w:rsidRPr="00503A64">
        <w:rPr>
          <w:rFonts w:cs="Tahoma"/>
          <w:color w:val="2E2E2A"/>
        </w:rPr>
        <w:t>, and public universities</w:t>
      </w:r>
      <w:r w:rsidR="00713EA2">
        <w:rPr>
          <w:rFonts w:cs="Tahoma"/>
          <w:color w:val="2E2E2A"/>
        </w:rPr>
        <w:t xml:space="preserve">. </w:t>
      </w:r>
    </w:p>
    <w:p w14:paraId="5AB3A0C1" w14:textId="77777777" w:rsidR="00AC7AF3" w:rsidRDefault="00AC7AF3" w:rsidP="00936101">
      <w:pPr>
        <w:jc w:val="both"/>
        <w:rPr>
          <w:iCs/>
        </w:rPr>
      </w:pPr>
    </w:p>
    <w:p w14:paraId="53B28C9B" w14:textId="77343482" w:rsidR="00A551AC" w:rsidRDefault="00A551AC" w:rsidP="00692898">
      <w:pPr>
        <w:pStyle w:val="Heading2"/>
        <w:shd w:val="clear" w:color="auto" w:fill="DEEAF6" w:themeFill="accent1" w:themeFillTint="33"/>
        <w:spacing w:before="0"/>
      </w:pPr>
      <w:r>
        <w:t>LCC’s Accessibility Guidelines</w:t>
      </w:r>
    </w:p>
    <w:p w14:paraId="28CF5158" w14:textId="77777777" w:rsidR="00A551AC" w:rsidRPr="00A551AC" w:rsidRDefault="00A551AC" w:rsidP="00692898"/>
    <w:p w14:paraId="6407CB76" w14:textId="3E5B924F" w:rsidR="009445EA" w:rsidRPr="002B4F6B" w:rsidRDefault="002B4F6B" w:rsidP="00692898">
      <w:pPr>
        <w:jc w:val="both"/>
        <w:rPr>
          <w:rFonts w:cs="Tahoma"/>
          <w:iCs/>
          <w:szCs w:val="24"/>
        </w:rPr>
      </w:pPr>
      <w:r w:rsidRPr="002B4F6B">
        <w:rPr>
          <w:rFonts w:cs="Tahoma"/>
          <w:iCs/>
          <w:szCs w:val="24"/>
        </w:rPr>
        <w:t>LCC’s Accessibility Guidelines</w:t>
      </w:r>
      <w:r>
        <w:rPr>
          <w:rFonts w:cs="Tahoma"/>
          <w:iCs/>
          <w:szCs w:val="24"/>
        </w:rPr>
        <w:t xml:space="preserve"> provide an explanation on how and why to fix different accessibility issues across various content types. </w:t>
      </w:r>
      <w:r w:rsidRPr="002B4F6B">
        <w:rPr>
          <w:rFonts w:cs="Tahoma"/>
          <w:iCs/>
          <w:szCs w:val="24"/>
          <w:highlight w:val="yellow"/>
        </w:rPr>
        <w:t>Every employee is responsible for ensuring all documents created are accessible,</w:t>
      </w:r>
      <w:r w:rsidRPr="002B4F6B">
        <w:rPr>
          <w:rFonts w:cs="Tahoma"/>
          <w:iCs/>
          <w:szCs w:val="24"/>
        </w:rPr>
        <w:t xml:space="preserve"> including those made in programs not listed within the guidelines</w:t>
      </w:r>
      <w:r>
        <w:rPr>
          <w:rFonts w:cs="Tahoma"/>
          <w:iCs/>
          <w:szCs w:val="24"/>
        </w:rPr>
        <w:t xml:space="preserve"> found on the </w:t>
      </w:r>
      <w:hyperlink r:id="rId8" w:history="1">
        <w:r w:rsidRPr="002B4F6B">
          <w:rPr>
            <w:rStyle w:val="Hyperlink"/>
            <w:rFonts w:cs="Tahoma"/>
            <w:iCs/>
            <w:szCs w:val="24"/>
          </w:rPr>
          <w:t>LCC’s Accessibility Guidelines webpage.</w:t>
        </w:r>
      </w:hyperlink>
    </w:p>
    <w:p w14:paraId="1DE19D2B" w14:textId="3E6D1378" w:rsidR="002A159E" w:rsidRDefault="002A159E" w:rsidP="00936101">
      <w:pPr>
        <w:jc w:val="both"/>
        <w:rPr>
          <w:rFonts w:cs="Tahoma"/>
          <w:i/>
          <w:szCs w:val="24"/>
        </w:rPr>
      </w:pPr>
    </w:p>
    <w:p w14:paraId="7505CA6E" w14:textId="73573E81" w:rsidR="002A159E" w:rsidRPr="00432445" w:rsidRDefault="002A159E" w:rsidP="00936101">
      <w:pPr>
        <w:jc w:val="both"/>
        <w:rPr>
          <w:rFonts w:cs="Tahoma"/>
          <w:i/>
          <w:szCs w:val="24"/>
        </w:rPr>
      </w:pPr>
    </w:p>
    <w:p w14:paraId="04F5D8E2" w14:textId="55BE6C6A" w:rsidR="00A940B7" w:rsidRDefault="002A159E" w:rsidP="001E21D7">
      <w:pPr>
        <w:pStyle w:val="Heading2"/>
        <w:shd w:val="clear" w:color="auto" w:fill="DEEAF6" w:themeFill="accent1" w:themeFillTint="33"/>
        <w:spacing w:after="240"/>
        <w:jc w:val="both"/>
      </w:pPr>
      <w:r>
        <w:t xml:space="preserve">TMS </w:t>
      </w:r>
      <w:r w:rsidR="00AC7AF3">
        <w:t>a</w:t>
      </w:r>
      <w:r>
        <w:t xml:space="preserve">ccessibility </w:t>
      </w:r>
      <w:r w:rsidR="00AC7AF3">
        <w:t>t</w:t>
      </w:r>
      <w:r>
        <w:t>rainings</w:t>
      </w:r>
    </w:p>
    <w:p w14:paraId="3CBBE8FE" w14:textId="6A003594" w:rsidR="00FB40B1" w:rsidRDefault="000773E0" w:rsidP="001E21D7">
      <w:pPr>
        <w:jc w:val="both"/>
      </w:pPr>
      <w:r>
        <w:t>The</w:t>
      </w:r>
      <w:r w:rsidR="00FB40B1">
        <w:t xml:space="preserve"> </w:t>
      </w:r>
      <w:hyperlink r:id="rId9" w:history="1">
        <w:r w:rsidR="00FB40B1">
          <w:rPr>
            <w:rStyle w:val="Hyperlink"/>
          </w:rPr>
          <w:t>T</w:t>
        </w:r>
        <w:r w:rsidR="00FB40B1" w:rsidRPr="00FB40B1">
          <w:rPr>
            <w:rStyle w:val="Hyperlink"/>
          </w:rPr>
          <w:t xml:space="preserve">alent </w:t>
        </w:r>
        <w:r w:rsidR="00FB40B1">
          <w:rPr>
            <w:rStyle w:val="Hyperlink"/>
          </w:rPr>
          <w:t>M</w:t>
        </w:r>
        <w:r w:rsidR="00FB40B1" w:rsidRPr="00FB40B1">
          <w:rPr>
            <w:rStyle w:val="Hyperlink"/>
          </w:rPr>
          <w:t xml:space="preserve">anagement </w:t>
        </w:r>
        <w:r w:rsidR="00FB40B1">
          <w:rPr>
            <w:rStyle w:val="Hyperlink"/>
          </w:rPr>
          <w:t>S</w:t>
        </w:r>
        <w:r w:rsidR="00FB40B1" w:rsidRPr="00FB40B1">
          <w:rPr>
            <w:rStyle w:val="Hyperlink"/>
          </w:rPr>
          <w:t>ystem</w:t>
        </w:r>
      </w:hyperlink>
      <w:r w:rsidR="00FB40B1">
        <w:t xml:space="preserve"> </w:t>
      </w:r>
      <w:r>
        <w:t>offers several accessibility related trainings.  Search “accessibility” to view and request trainings at any time.</w:t>
      </w:r>
    </w:p>
    <w:p w14:paraId="0D2E936F" w14:textId="25146ED2" w:rsidR="00FB40B1" w:rsidRDefault="00FB40B1" w:rsidP="002A159E">
      <w:r w:rsidRPr="00FB40B1">
        <w:rPr>
          <w:noProof/>
        </w:rPr>
        <w:drawing>
          <wp:inline distT="0" distB="0" distL="0" distR="0" wp14:anchorId="4B0B75C4" wp14:editId="2B1088B1">
            <wp:extent cx="6823075" cy="7297947"/>
            <wp:effectExtent l="0" t="0" r="0" b="0"/>
            <wp:docPr id="12" name="Picture 12" descr="Talent Management Systems array of different trainings regarding 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lent Management Systems array of different trainings regarding accessibility."/>
                    <pic:cNvPicPr/>
                  </pic:nvPicPr>
                  <pic:blipFill rotWithShape="1">
                    <a:blip r:embed="rId10"/>
                    <a:srcRect l="503" b="772"/>
                    <a:stretch/>
                  </pic:blipFill>
                  <pic:spPr bwMode="auto">
                    <a:xfrm>
                      <a:off x="0" y="0"/>
                      <a:ext cx="6823494" cy="7298395"/>
                    </a:xfrm>
                    <a:prstGeom prst="rect">
                      <a:avLst/>
                    </a:prstGeom>
                    <a:ln>
                      <a:noFill/>
                    </a:ln>
                    <a:extLst>
                      <a:ext uri="{53640926-AAD7-44D8-BBD7-CCE9431645EC}">
                        <a14:shadowObscured xmlns:a14="http://schemas.microsoft.com/office/drawing/2010/main"/>
                      </a:ext>
                    </a:extLst>
                  </pic:spPr>
                </pic:pic>
              </a:graphicData>
            </a:graphic>
          </wp:inline>
        </w:drawing>
      </w:r>
    </w:p>
    <w:p w14:paraId="1BEC3207" w14:textId="77777777" w:rsidR="000773E0" w:rsidRDefault="000773E0" w:rsidP="002A159E"/>
    <w:p w14:paraId="21F1306B" w14:textId="0114ACA9" w:rsidR="00AC7AF3" w:rsidRDefault="00FB40B1" w:rsidP="00AB2358">
      <w:pPr>
        <w:pStyle w:val="Heading2"/>
        <w:shd w:val="clear" w:color="auto" w:fill="DEEAF6" w:themeFill="accent1" w:themeFillTint="33"/>
        <w:spacing w:before="0"/>
      </w:pPr>
      <w:r>
        <w:lastRenderedPageBreak/>
        <w:t xml:space="preserve">Accessibility </w:t>
      </w:r>
      <w:r w:rsidR="00AB2358">
        <w:t>in documents</w:t>
      </w:r>
    </w:p>
    <w:p w14:paraId="79F8EAE5" w14:textId="6A1DD50E" w:rsidR="00FB40B1" w:rsidRDefault="00FB40B1" w:rsidP="001E21D7">
      <w:pPr>
        <w:spacing w:after="0"/>
      </w:pPr>
    </w:p>
    <w:p w14:paraId="1D89C0F0" w14:textId="2318344F" w:rsidR="00F14814" w:rsidRDefault="00FB40B1" w:rsidP="001E21D7">
      <w:pPr>
        <w:spacing w:after="0"/>
        <w:jc w:val="both"/>
      </w:pPr>
      <w:r>
        <w:t>There are</w:t>
      </w:r>
      <w:r w:rsidR="00F14814">
        <w:t xml:space="preserve"> multiple</w:t>
      </w:r>
      <w:r>
        <w:t xml:space="preserve"> things</w:t>
      </w:r>
      <w:r w:rsidR="00F14814">
        <w:t xml:space="preserve"> to keep in mind when making a document accessible. </w:t>
      </w:r>
      <w:r w:rsidR="00AB2358">
        <w:t>A sans serif f</w:t>
      </w:r>
      <w:r w:rsidR="00F14814">
        <w:t>ont</w:t>
      </w:r>
      <w:r w:rsidR="00AB2358">
        <w:t>,</w:t>
      </w:r>
      <w:r w:rsidR="00F14814">
        <w:t xml:space="preserve"> size</w:t>
      </w:r>
      <w:r w:rsidR="00AB2358">
        <w:t xml:space="preserve"> and contrast </w:t>
      </w:r>
      <w:r w:rsidR="00F14814">
        <w:t xml:space="preserve">are just a few examples of </w:t>
      </w:r>
      <w:r w:rsidR="00AB2358">
        <w:t>items</w:t>
      </w:r>
      <w:r w:rsidR="00F14814">
        <w:t xml:space="preserve"> you need to consider. </w:t>
      </w:r>
      <w:r w:rsidR="000773E0">
        <w:t>A</w:t>
      </w:r>
      <w:r w:rsidR="00AB2358">
        <w:t>lt text for images, head</w:t>
      </w:r>
      <w:r w:rsidR="000773E0">
        <w:t>ing</w:t>
      </w:r>
      <w:r w:rsidR="00AB2358">
        <w:t xml:space="preserve"> order, table design</w:t>
      </w:r>
      <w:r w:rsidR="000773E0">
        <w:t>,</w:t>
      </w:r>
      <w:r w:rsidR="00AB2358">
        <w:t xml:space="preserve"> and hyperlinks </w:t>
      </w:r>
      <w:r w:rsidR="000773E0">
        <w:t>are also important</w:t>
      </w:r>
      <w:r w:rsidR="00AB2358">
        <w:t xml:space="preserve">. </w:t>
      </w:r>
    </w:p>
    <w:p w14:paraId="5A9B7A8C" w14:textId="79D82A18" w:rsidR="00F14814" w:rsidRDefault="00F14814" w:rsidP="001E21D7">
      <w:pPr>
        <w:jc w:val="center"/>
      </w:pPr>
      <w:r>
        <w:rPr>
          <w:noProof/>
        </w:rPr>
        <w:drawing>
          <wp:inline distT="0" distB="0" distL="0" distR="0" wp14:anchorId="336B4658" wp14:editId="58DA68B3">
            <wp:extent cx="6359857" cy="3281215"/>
            <wp:effectExtent l="0" t="0" r="3175" b="0"/>
            <wp:docPr id="13" name="Picture 13" descr="Example of what makes a font serif vs. a sans serif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xample of what makes a font serif vs. a sans serif fo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9857" cy="3281215"/>
                    </a:xfrm>
                    <a:prstGeom prst="rect">
                      <a:avLst/>
                    </a:prstGeom>
                    <a:noFill/>
                    <a:ln>
                      <a:noFill/>
                    </a:ln>
                  </pic:spPr>
                </pic:pic>
              </a:graphicData>
            </a:graphic>
          </wp:inline>
        </w:drawing>
      </w:r>
    </w:p>
    <w:p w14:paraId="15836B01" w14:textId="5FFCF803" w:rsidR="00FB40B1" w:rsidRDefault="000773E0" w:rsidP="002A159E">
      <w:r>
        <w:t>T</w:t>
      </w:r>
      <w:r w:rsidR="00AB2358">
        <w:t xml:space="preserve">he Center for Teaching Excellence (CTE) has a series of guides to help cover all of the bases. </w:t>
      </w:r>
      <w:r>
        <w:t xml:space="preserve">Access to </w:t>
      </w:r>
      <w:r w:rsidR="00AB2358">
        <w:t xml:space="preserve">their guide titled </w:t>
      </w:r>
      <w:hyperlink r:id="rId12" w:history="1">
        <w:r w:rsidR="00AB2358" w:rsidRPr="00AB2358">
          <w:rPr>
            <w:rStyle w:val="Hyperlink"/>
          </w:rPr>
          <w:t>Making Accessible Microsoft Word Documents</w:t>
        </w:r>
      </w:hyperlink>
      <w:r w:rsidR="00AB2358">
        <w:t xml:space="preserve"> </w:t>
      </w:r>
      <w:r>
        <w:t xml:space="preserve">is </w:t>
      </w:r>
      <w:r w:rsidR="00AB2358">
        <w:t xml:space="preserve">found on their </w:t>
      </w:r>
      <w:hyperlink r:id="rId13" w:history="1">
        <w:r w:rsidR="00AB2358" w:rsidRPr="00AB2358">
          <w:rPr>
            <w:rStyle w:val="Hyperlink"/>
          </w:rPr>
          <w:t>Accessibility Tutorials</w:t>
        </w:r>
      </w:hyperlink>
      <w:r w:rsidR="00AB2358">
        <w:t xml:space="preserve"> webpage. </w:t>
      </w:r>
      <w:r>
        <w:t>If</w:t>
      </w:r>
      <w:r w:rsidR="00AB2358">
        <w:t xml:space="preserve"> </w:t>
      </w:r>
      <w:r>
        <w:t>preferred</w:t>
      </w:r>
      <w:r w:rsidR="00AB2358">
        <w:t xml:space="preserve"> there </w:t>
      </w:r>
      <w:r w:rsidR="00AF7567">
        <w:t>is</w:t>
      </w:r>
      <w:r w:rsidR="00AB2358">
        <w:t xml:space="preserve"> a series of concise videos</w:t>
      </w:r>
      <w:r>
        <w:t>,</w:t>
      </w:r>
      <w:r w:rsidR="00AB2358">
        <w:t xml:space="preserve"> organized by program type </w:t>
      </w:r>
      <w:r>
        <w:t xml:space="preserve">which can be </w:t>
      </w:r>
      <w:r w:rsidR="00AB2358">
        <w:t xml:space="preserve">found on the </w:t>
      </w:r>
      <w:hyperlink r:id="rId14" w:history="1">
        <w:r w:rsidR="00AB2358" w:rsidRPr="00AB2358">
          <w:rPr>
            <w:rStyle w:val="Hyperlink"/>
          </w:rPr>
          <w:t>Accessibility Help Videos</w:t>
        </w:r>
      </w:hyperlink>
      <w:r w:rsidR="00AB2358">
        <w:t xml:space="preserve"> page.</w:t>
      </w:r>
    </w:p>
    <w:p w14:paraId="6454E1C1" w14:textId="0948C8E7" w:rsidR="00AB2358" w:rsidRDefault="00AB2358" w:rsidP="000773E0">
      <w:pPr>
        <w:pStyle w:val="Heading2"/>
        <w:shd w:val="clear" w:color="auto" w:fill="DEEAF6" w:themeFill="accent1" w:themeFillTint="33"/>
        <w:spacing w:before="0" w:line="240" w:lineRule="auto"/>
      </w:pPr>
      <w:r>
        <w:t>Accessibility checking tools</w:t>
      </w:r>
    </w:p>
    <w:p w14:paraId="5F1D6835" w14:textId="7C4D656D" w:rsidR="00740F93" w:rsidRDefault="00740F93" w:rsidP="000773E0">
      <w:pPr>
        <w:spacing w:line="240" w:lineRule="auto"/>
      </w:pPr>
    </w:p>
    <w:p w14:paraId="7B6D5E0A" w14:textId="31D751FC" w:rsidR="001E21D7" w:rsidRDefault="00AB2358" w:rsidP="000773E0">
      <w:pPr>
        <w:spacing w:line="240" w:lineRule="auto"/>
      </w:pPr>
      <w:r>
        <w:t xml:space="preserve">Once </w:t>
      </w:r>
      <w:r w:rsidR="000773E0">
        <w:t>the</w:t>
      </w:r>
      <w:r>
        <w:t xml:space="preserve"> draft</w:t>
      </w:r>
      <w:r w:rsidR="000773E0">
        <w:t xml:space="preserve"> is complete,</w:t>
      </w:r>
      <w:r>
        <w:t xml:space="preserve"> use the accessibility checkers to review </w:t>
      </w:r>
      <w:r w:rsidR="000773E0">
        <w:t>the document for accessibility issues</w:t>
      </w:r>
      <w:r>
        <w:t xml:space="preserve">. </w:t>
      </w:r>
      <w:r w:rsidR="001E21D7">
        <w:t xml:space="preserve">Within Microsoft Word </w:t>
      </w:r>
      <w:r w:rsidR="000773E0">
        <w:t>there is</w:t>
      </w:r>
      <w:r w:rsidR="001E21D7">
        <w:t xml:space="preserve"> an accessibility checker under the Review tab. Click on “Check Accessibility” to have the program look for errors. The image on the right was taken of this document’s rough draft to show how alt text still needs to be added to make it more accessible.</w:t>
      </w:r>
    </w:p>
    <w:p w14:paraId="4038F963" w14:textId="24929FD3" w:rsidR="00AB2358" w:rsidRDefault="001E21D7" w:rsidP="002A159E">
      <w:r w:rsidRPr="00740F93">
        <w:rPr>
          <w:noProof/>
        </w:rPr>
        <w:drawing>
          <wp:inline distT="0" distB="0" distL="0" distR="0" wp14:anchorId="4A9FBADB" wp14:editId="5CF1F68C">
            <wp:extent cx="3456603" cy="2292425"/>
            <wp:effectExtent l="0" t="0" r="0" b="0"/>
            <wp:docPr id="11" name="Picture 11" descr="Where to find the accessibility checker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ere to find the accessibility checker in Word."/>
                    <pic:cNvPicPr/>
                  </pic:nvPicPr>
                  <pic:blipFill>
                    <a:blip r:embed="rId15"/>
                    <a:stretch>
                      <a:fillRect/>
                    </a:stretch>
                  </pic:blipFill>
                  <pic:spPr>
                    <a:xfrm>
                      <a:off x="0" y="0"/>
                      <a:ext cx="3470189" cy="2301435"/>
                    </a:xfrm>
                    <a:prstGeom prst="rect">
                      <a:avLst/>
                    </a:prstGeom>
                  </pic:spPr>
                </pic:pic>
              </a:graphicData>
            </a:graphic>
          </wp:inline>
        </w:drawing>
      </w:r>
      <w:r>
        <w:rPr>
          <w:noProof/>
        </w:rPr>
        <w:t xml:space="preserve"> </w:t>
      </w:r>
      <w:r w:rsidRPr="001E21D7">
        <w:rPr>
          <w:noProof/>
        </w:rPr>
        <w:t xml:space="preserve"> </w:t>
      </w:r>
      <w:r w:rsidRPr="001E21D7">
        <w:rPr>
          <w:noProof/>
        </w:rPr>
        <w:drawing>
          <wp:inline distT="0" distB="0" distL="0" distR="0" wp14:anchorId="280A2F34" wp14:editId="0D4E2D97">
            <wp:extent cx="2399505" cy="2289828"/>
            <wp:effectExtent l="0" t="0" r="1270" b="0"/>
            <wp:docPr id="15" name="Picture 15" descr="Results of running accessibility checker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Results of running accessibility checker in word."/>
                    <pic:cNvPicPr/>
                  </pic:nvPicPr>
                  <pic:blipFill rotWithShape="1">
                    <a:blip r:embed="rId16"/>
                    <a:srcRect t="12498" b="12067"/>
                    <a:stretch/>
                  </pic:blipFill>
                  <pic:spPr bwMode="auto">
                    <a:xfrm>
                      <a:off x="0" y="0"/>
                      <a:ext cx="2402537" cy="2292721"/>
                    </a:xfrm>
                    <a:prstGeom prst="rect">
                      <a:avLst/>
                    </a:prstGeom>
                    <a:ln>
                      <a:noFill/>
                    </a:ln>
                    <a:extLst>
                      <a:ext uri="{53640926-AAD7-44D8-BBD7-CCE9431645EC}">
                        <a14:shadowObscured xmlns:a14="http://schemas.microsoft.com/office/drawing/2010/main"/>
                      </a:ext>
                    </a:extLst>
                  </pic:spPr>
                </pic:pic>
              </a:graphicData>
            </a:graphic>
          </wp:inline>
        </w:drawing>
      </w:r>
    </w:p>
    <w:p w14:paraId="03105E9B" w14:textId="55B6A998" w:rsidR="00604B60" w:rsidRDefault="001E21D7" w:rsidP="002A159E">
      <w:r>
        <w:lastRenderedPageBreak/>
        <w:t xml:space="preserve">There is an additional accessibility checker found in the </w:t>
      </w:r>
      <w:hyperlink r:id="rId17" w:history="1">
        <w:r w:rsidRPr="001E21D7">
          <w:rPr>
            <w:rStyle w:val="Hyperlink"/>
          </w:rPr>
          <w:t>D2L home page</w:t>
        </w:r>
      </w:hyperlink>
      <w:r>
        <w:t xml:space="preserve">. </w:t>
      </w:r>
      <w:r w:rsidR="00604B60">
        <w:t>Uploading the document into the Ally Site can provide another way to check for errors. By clicking on the yellow gauge below</w:t>
      </w:r>
      <w:r w:rsidR="00985D9F">
        <w:t>,</w:t>
      </w:r>
      <w:r w:rsidR="00604B60">
        <w:t xml:space="preserve"> </w:t>
      </w:r>
      <w:r w:rsidR="00985D9F">
        <w:t>the program will provide greater detail on the issues to fix.</w:t>
      </w:r>
    </w:p>
    <w:p w14:paraId="690535F4" w14:textId="5484DAFA" w:rsidR="00604B60" w:rsidRDefault="00985D9F" w:rsidP="002A159E">
      <w:r w:rsidRPr="00985D9F">
        <w:rPr>
          <w:noProof/>
        </w:rPr>
        <w:drawing>
          <wp:inline distT="0" distB="0" distL="0" distR="0" wp14:anchorId="07D17D91" wp14:editId="726BD181">
            <wp:extent cx="6858000" cy="1427480"/>
            <wp:effectExtent l="0" t="0" r="0" b="1270"/>
            <wp:docPr id="3" name="Picture 3" descr="Yellow gauge is pointed out in sample of Ally accessibility check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ellow gauge is pointed out in sample of Ally accessibility checker "/>
                    <pic:cNvPicPr/>
                  </pic:nvPicPr>
                  <pic:blipFill>
                    <a:blip r:embed="rId18"/>
                    <a:stretch>
                      <a:fillRect/>
                    </a:stretch>
                  </pic:blipFill>
                  <pic:spPr>
                    <a:xfrm>
                      <a:off x="0" y="0"/>
                      <a:ext cx="6858000" cy="1427480"/>
                    </a:xfrm>
                    <a:prstGeom prst="rect">
                      <a:avLst/>
                    </a:prstGeom>
                  </pic:spPr>
                </pic:pic>
              </a:graphicData>
            </a:graphic>
          </wp:inline>
        </w:drawing>
      </w:r>
    </w:p>
    <w:p w14:paraId="6DF1C801" w14:textId="68126B2B" w:rsidR="00604B60" w:rsidRDefault="00985D9F" w:rsidP="002A159E">
      <w:r>
        <w:t>The</w:t>
      </w:r>
      <w:r w:rsidR="00604B60">
        <w:t xml:space="preserve"> accessibility checkers will not catch everything.  </w:t>
      </w:r>
      <w:r>
        <w:t>Be sure</w:t>
      </w:r>
      <w:r w:rsidR="00604B60">
        <w:t xml:space="preserve"> to manually check for the following:</w:t>
      </w:r>
    </w:p>
    <w:p w14:paraId="0E8C1175" w14:textId="49FB9D07" w:rsidR="00604B60" w:rsidRDefault="00604B60" w:rsidP="00604B60">
      <w:pPr>
        <w:pStyle w:val="ListParagraph"/>
        <w:numPr>
          <w:ilvl w:val="0"/>
          <w:numId w:val="13"/>
        </w:numPr>
      </w:pPr>
      <w:r>
        <w:t>Alt text descriptions match the images they describe</w:t>
      </w:r>
    </w:p>
    <w:p w14:paraId="7FECC83E" w14:textId="0D6C8135" w:rsidR="00604B60" w:rsidRDefault="00604B60" w:rsidP="00604B60">
      <w:pPr>
        <w:pStyle w:val="ListParagraph"/>
        <w:numPr>
          <w:ilvl w:val="0"/>
          <w:numId w:val="13"/>
        </w:numPr>
      </w:pPr>
      <w:r>
        <w:t>Images are not composed of multiple parts</w:t>
      </w:r>
    </w:p>
    <w:p w14:paraId="3FAA1B3B" w14:textId="10FB792B" w:rsidR="00604B60" w:rsidRDefault="00604B60" w:rsidP="00604B60">
      <w:pPr>
        <w:pStyle w:val="ListParagraph"/>
        <w:numPr>
          <w:ilvl w:val="0"/>
          <w:numId w:val="13"/>
        </w:numPr>
      </w:pPr>
      <w:r>
        <w:t>Images have high contrast</w:t>
      </w:r>
    </w:p>
    <w:p w14:paraId="6A0C9BD1" w14:textId="1A634086" w:rsidR="00604B60" w:rsidRDefault="00604B60" w:rsidP="00604B60">
      <w:pPr>
        <w:pStyle w:val="ListParagraph"/>
        <w:numPr>
          <w:ilvl w:val="0"/>
          <w:numId w:val="13"/>
        </w:numPr>
      </w:pPr>
      <w:r>
        <w:t>No word art is used</w:t>
      </w:r>
    </w:p>
    <w:p w14:paraId="4B3103FF" w14:textId="65261F03" w:rsidR="00604B60" w:rsidRDefault="00604B60" w:rsidP="00604B60">
      <w:pPr>
        <w:pStyle w:val="ListParagraph"/>
        <w:numPr>
          <w:ilvl w:val="0"/>
          <w:numId w:val="13"/>
        </w:numPr>
      </w:pPr>
      <w:r>
        <w:t>Table layouts are structured with headers</w:t>
      </w:r>
    </w:p>
    <w:p w14:paraId="0625F750" w14:textId="050C6E53" w:rsidR="00604B60" w:rsidRDefault="00604B60" w:rsidP="00604B60">
      <w:pPr>
        <w:pStyle w:val="ListParagraph"/>
        <w:numPr>
          <w:ilvl w:val="0"/>
          <w:numId w:val="13"/>
        </w:numPr>
      </w:pPr>
      <w:r>
        <w:t>Proper ordered list structures are used (such as bullet points or numbers)</w:t>
      </w:r>
    </w:p>
    <w:p w14:paraId="7A702388" w14:textId="699F8A37" w:rsidR="00604B60" w:rsidRDefault="00604B60" w:rsidP="00604B60">
      <w:pPr>
        <w:pStyle w:val="ListParagraph"/>
        <w:numPr>
          <w:ilvl w:val="0"/>
          <w:numId w:val="13"/>
        </w:numPr>
      </w:pPr>
      <w:r>
        <w:t>Form fields are used for data entry</w:t>
      </w:r>
      <w:r w:rsidR="00985D9F">
        <w:t>,</w:t>
      </w:r>
      <w:r>
        <w:t xml:space="preserve"> instead of </w:t>
      </w:r>
      <w:r w:rsidR="00985D9F">
        <w:t>continuously using underscore to create lines</w:t>
      </w:r>
    </w:p>
    <w:p w14:paraId="0412036A" w14:textId="11DB8CCB" w:rsidR="00604B60" w:rsidRDefault="00985D9F" w:rsidP="00604B60">
      <w:pPr>
        <w:pStyle w:val="ListParagraph"/>
        <w:numPr>
          <w:ilvl w:val="1"/>
          <w:numId w:val="13"/>
        </w:numPr>
      </w:pPr>
      <w:r>
        <w:t>To</w:t>
      </w:r>
      <w:r w:rsidR="00604B60">
        <w:t xml:space="preserve"> </w:t>
      </w:r>
      <w:r w:rsidR="00AE4595">
        <w:t>better understand</w:t>
      </w:r>
      <w:r w:rsidR="00604B60">
        <w:t xml:space="preserve"> why</w:t>
      </w:r>
      <w:r w:rsidR="00712F91">
        <w:t>,</w:t>
      </w:r>
      <w:r w:rsidR="00604B60">
        <w:t xml:space="preserve"> </w:t>
      </w:r>
      <w:r w:rsidR="00047236">
        <w:t>try using the underscore to create a line followed by</w:t>
      </w:r>
      <w:r w:rsidR="00604B60">
        <w:t xml:space="preserve"> the </w:t>
      </w:r>
      <w:r w:rsidR="00712F91">
        <w:t>“R</w:t>
      </w:r>
      <w:r w:rsidR="00604B60">
        <w:t xml:space="preserve">ead </w:t>
      </w:r>
      <w:r w:rsidR="00712F91">
        <w:t>A</w:t>
      </w:r>
      <w:r w:rsidR="00604B60">
        <w:t>loud</w:t>
      </w:r>
      <w:r w:rsidR="00712F91">
        <w:t>” function</w:t>
      </w:r>
    </w:p>
    <w:p w14:paraId="5FB209F8" w14:textId="7E97E137" w:rsidR="002A159E" w:rsidRDefault="002A159E" w:rsidP="00692898">
      <w:pPr>
        <w:pStyle w:val="Heading2"/>
        <w:shd w:val="clear" w:color="auto" w:fill="DEEAF6" w:themeFill="accent1" w:themeFillTint="33"/>
        <w:spacing w:before="0"/>
      </w:pPr>
      <w:r>
        <w:t xml:space="preserve">Useful </w:t>
      </w:r>
      <w:r w:rsidR="00AC7AF3">
        <w:t>a</w:t>
      </w:r>
      <w:r>
        <w:t xml:space="preserve">ccessibility </w:t>
      </w:r>
      <w:r w:rsidR="00AC7AF3">
        <w:t>w</w:t>
      </w:r>
      <w:r>
        <w:t>ebpages</w:t>
      </w:r>
    </w:p>
    <w:p w14:paraId="65BE2D53" w14:textId="05520743" w:rsidR="002A159E" w:rsidRDefault="002A159E" w:rsidP="00692898"/>
    <w:p w14:paraId="36ED4645" w14:textId="1B18FB2E" w:rsidR="00AC7AF3" w:rsidRDefault="00AC7AF3" w:rsidP="00692898">
      <w:r>
        <w:t>A list of accessibility webpages with embedded hyperlinks:</w:t>
      </w:r>
    </w:p>
    <w:p w14:paraId="3157B9B9" w14:textId="0F65ECD8" w:rsidR="002B4F6B" w:rsidRDefault="00FC56B0" w:rsidP="00887F70">
      <w:pPr>
        <w:pStyle w:val="ListParagraph"/>
        <w:numPr>
          <w:ilvl w:val="0"/>
          <w:numId w:val="12"/>
        </w:numPr>
        <w:spacing w:line="480" w:lineRule="auto"/>
      </w:pPr>
      <w:hyperlink r:id="rId19" w:history="1">
        <w:r w:rsidR="002A159E" w:rsidRPr="002A159E">
          <w:rPr>
            <w:rStyle w:val="Hyperlink"/>
          </w:rPr>
          <w:t>Accessibility at LCC</w:t>
        </w:r>
      </w:hyperlink>
    </w:p>
    <w:p w14:paraId="55967C68" w14:textId="587EC732" w:rsidR="002A159E" w:rsidRDefault="00FC56B0" w:rsidP="00887F70">
      <w:pPr>
        <w:pStyle w:val="ListParagraph"/>
        <w:numPr>
          <w:ilvl w:val="0"/>
          <w:numId w:val="12"/>
        </w:numPr>
        <w:spacing w:line="480" w:lineRule="auto"/>
      </w:pPr>
      <w:hyperlink r:id="rId20" w:history="1">
        <w:r w:rsidR="002A159E" w:rsidRPr="002A159E">
          <w:rPr>
            <w:rStyle w:val="Hyperlink"/>
          </w:rPr>
          <w:t>Accessibility Help Videos</w:t>
        </w:r>
      </w:hyperlink>
    </w:p>
    <w:p w14:paraId="15FDA987" w14:textId="12ACA3E8" w:rsidR="002A159E" w:rsidRDefault="00FC56B0" w:rsidP="00887F70">
      <w:pPr>
        <w:pStyle w:val="ListParagraph"/>
        <w:numPr>
          <w:ilvl w:val="0"/>
          <w:numId w:val="12"/>
        </w:numPr>
        <w:spacing w:line="480" w:lineRule="auto"/>
      </w:pPr>
      <w:hyperlink r:id="rId21" w:history="1">
        <w:r w:rsidR="002A159E" w:rsidRPr="002A159E">
          <w:rPr>
            <w:rStyle w:val="Hyperlink"/>
          </w:rPr>
          <w:t>Accessibility Tutorials</w:t>
        </w:r>
      </w:hyperlink>
    </w:p>
    <w:p w14:paraId="28BD8875" w14:textId="0418AD7D" w:rsidR="002A159E" w:rsidRDefault="00FC56B0" w:rsidP="00887F70">
      <w:pPr>
        <w:pStyle w:val="ListParagraph"/>
        <w:numPr>
          <w:ilvl w:val="0"/>
          <w:numId w:val="12"/>
        </w:numPr>
        <w:spacing w:line="480" w:lineRule="auto"/>
      </w:pPr>
      <w:hyperlink r:id="rId22" w:history="1">
        <w:r w:rsidR="002A159E" w:rsidRPr="002A159E">
          <w:rPr>
            <w:rStyle w:val="Hyperlink"/>
          </w:rPr>
          <w:t>Accessibility Trainings</w:t>
        </w:r>
      </w:hyperlink>
    </w:p>
    <w:p w14:paraId="26C49816" w14:textId="41C43C59" w:rsidR="002A159E" w:rsidRDefault="00FC56B0" w:rsidP="00887F70">
      <w:pPr>
        <w:pStyle w:val="ListParagraph"/>
        <w:numPr>
          <w:ilvl w:val="0"/>
          <w:numId w:val="12"/>
        </w:numPr>
        <w:spacing w:line="480" w:lineRule="auto"/>
      </w:pPr>
      <w:hyperlink r:id="rId23" w:history="1">
        <w:r w:rsidR="002A159E" w:rsidRPr="002A159E">
          <w:rPr>
            <w:rStyle w:val="Hyperlink"/>
          </w:rPr>
          <w:t>Ally Accessibility Report</w:t>
        </w:r>
      </w:hyperlink>
    </w:p>
    <w:p w14:paraId="39629A9E" w14:textId="204BF50E" w:rsidR="002A159E" w:rsidRDefault="00FC56B0" w:rsidP="00887F70">
      <w:pPr>
        <w:pStyle w:val="ListParagraph"/>
        <w:numPr>
          <w:ilvl w:val="0"/>
          <w:numId w:val="12"/>
        </w:numPr>
        <w:spacing w:line="480" w:lineRule="auto"/>
      </w:pPr>
      <w:hyperlink r:id="rId24" w:history="1">
        <w:r w:rsidR="002A159E" w:rsidRPr="002A159E">
          <w:rPr>
            <w:rStyle w:val="Hyperlink"/>
          </w:rPr>
          <w:t>D2L Course Design Accessibility</w:t>
        </w:r>
      </w:hyperlink>
    </w:p>
    <w:p w14:paraId="349E4179" w14:textId="77777777" w:rsidR="00887F70" w:rsidRDefault="00FC56B0" w:rsidP="002A159E">
      <w:pPr>
        <w:pStyle w:val="ListParagraph"/>
        <w:numPr>
          <w:ilvl w:val="0"/>
          <w:numId w:val="12"/>
        </w:numPr>
        <w:spacing w:line="480" w:lineRule="auto"/>
      </w:pPr>
      <w:hyperlink r:id="rId25" w:history="1">
        <w:r w:rsidR="002A159E" w:rsidRPr="002A159E">
          <w:rPr>
            <w:rStyle w:val="Hyperlink"/>
          </w:rPr>
          <w:t>External Accessibility Resources</w:t>
        </w:r>
      </w:hyperlink>
    </w:p>
    <w:p w14:paraId="7D238309" w14:textId="2F188FDA" w:rsidR="00740F93" w:rsidRDefault="00FC56B0" w:rsidP="00712F91">
      <w:pPr>
        <w:pStyle w:val="ListParagraph"/>
        <w:numPr>
          <w:ilvl w:val="1"/>
          <w:numId w:val="12"/>
        </w:numPr>
        <w:spacing w:line="480" w:lineRule="auto"/>
      </w:pPr>
      <w:hyperlink r:id="rId26" w:history="1">
        <w:r w:rsidR="00AC7AF3" w:rsidRPr="00AC7AF3">
          <w:rPr>
            <w:rStyle w:val="Hyperlink"/>
          </w:rPr>
          <w:t>Web AIM (Accessibility in Mind)</w:t>
        </w:r>
      </w:hyperlink>
      <w:r w:rsidR="00740F93">
        <w:t xml:space="preserve"> </w:t>
      </w:r>
      <w:r w:rsidR="00FB40B1">
        <w:t>A</w:t>
      </w:r>
      <w:r w:rsidR="00740F93">
        <w:t xml:space="preserve"> great </w:t>
      </w:r>
      <w:r w:rsidR="00FB40B1">
        <w:t xml:space="preserve">external </w:t>
      </w:r>
      <w:r w:rsidR="00740F93">
        <w:t xml:space="preserve">website </w:t>
      </w:r>
      <w:r w:rsidR="00985D9F">
        <w:t>for checking font contrast.</w:t>
      </w:r>
    </w:p>
    <w:p w14:paraId="630D33BD" w14:textId="1AD2C58C" w:rsidR="002A159E" w:rsidRPr="002A159E" w:rsidRDefault="002A159E" w:rsidP="002A159E"/>
    <w:sectPr w:rsidR="002A159E" w:rsidRPr="002A159E" w:rsidSect="00A940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5DCF"/>
    <w:multiLevelType w:val="hybridMultilevel"/>
    <w:tmpl w:val="57388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A633B"/>
    <w:multiLevelType w:val="hybridMultilevel"/>
    <w:tmpl w:val="1378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375B3"/>
    <w:multiLevelType w:val="hybridMultilevel"/>
    <w:tmpl w:val="9F6E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177D8"/>
    <w:multiLevelType w:val="hybridMultilevel"/>
    <w:tmpl w:val="DC9E2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1552B"/>
    <w:multiLevelType w:val="hybridMultilevel"/>
    <w:tmpl w:val="9D740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D576E"/>
    <w:multiLevelType w:val="hybridMultilevel"/>
    <w:tmpl w:val="DDDA7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065AE"/>
    <w:multiLevelType w:val="hybridMultilevel"/>
    <w:tmpl w:val="1E422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5544D"/>
    <w:multiLevelType w:val="hybridMultilevel"/>
    <w:tmpl w:val="A296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F5649"/>
    <w:multiLevelType w:val="hybridMultilevel"/>
    <w:tmpl w:val="D7800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221AE"/>
    <w:multiLevelType w:val="hybridMultilevel"/>
    <w:tmpl w:val="8218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63E6D"/>
    <w:multiLevelType w:val="hybridMultilevel"/>
    <w:tmpl w:val="5314A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06859"/>
    <w:multiLevelType w:val="hybridMultilevel"/>
    <w:tmpl w:val="EA3CB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6810F9"/>
    <w:multiLevelType w:val="hybridMultilevel"/>
    <w:tmpl w:val="A52E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
  </w:num>
  <w:num w:numId="4">
    <w:abstractNumId w:val="5"/>
  </w:num>
  <w:num w:numId="5">
    <w:abstractNumId w:val="7"/>
  </w:num>
  <w:num w:numId="6">
    <w:abstractNumId w:val="11"/>
  </w:num>
  <w:num w:numId="7">
    <w:abstractNumId w:val="4"/>
  </w:num>
  <w:num w:numId="8">
    <w:abstractNumId w:val="1"/>
  </w:num>
  <w:num w:numId="9">
    <w:abstractNumId w:val="8"/>
  </w:num>
  <w:num w:numId="10">
    <w:abstractNumId w:val="9"/>
  </w:num>
  <w:num w:numId="11">
    <w:abstractNumId w:val="0"/>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686"/>
    <w:rsid w:val="00015830"/>
    <w:rsid w:val="00016B18"/>
    <w:rsid w:val="0002170D"/>
    <w:rsid w:val="000246AA"/>
    <w:rsid w:val="000434B2"/>
    <w:rsid w:val="00047236"/>
    <w:rsid w:val="000706D0"/>
    <w:rsid w:val="000773E0"/>
    <w:rsid w:val="00077BC6"/>
    <w:rsid w:val="00081680"/>
    <w:rsid w:val="000A42A6"/>
    <w:rsid w:val="000B50CD"/>
    <w:rsid w:val="000B55C7"/>
    <w:rsid w:val="00113835"/>
    <w:rsid w:val="00113D9F"/>
    <w:rsid w:val="0011529A"/>
    <w:rsid w:val="001960FD"/>
    <w:rsid w:val="001C4DF9"/>
    <w:rsid w:val="001C7EBA"/>
    <w:rsid w:val="001E21D7"/>
    <w:rsid w:val="001E7E78"/>
    <w:rsid w:val="002507EB"/>
    <w:rsid w:val="002644DB"/>
    <w:rsid w:val="002A159E"/>
    <w:rsid w:val="002B4F6B"/>
    <w:rsid w:val="002D4F5B"/>
    <w:rsid w:val="002E4CCE"/>
    <w:rsid w:val="002E7B39"/>
    <w:rsid w:val="002F19F4"/>
    <w:rsid w:val="002F2E5F"/>
    <w:rsid w:val="00331FB2"/>
    <w:rsid w:val="003346A2"/>
    <w:rsid w:val="003372BD"/>
    <w:rsid w:val="00337E01"/>
    <w:rsid w:val="00357AEA"/>
    <w:rsid w:val="003703EF"/>
    <w:rsid w:val="003B397D"/>
    <w:rsid w:val="003C4148"/>
    <w:rsid w:val="003D06A4"/>
    <w:rsid w:val="003D3295"/>
    <w:rsid w:val="00403D60"/>
    <w:rsid w:val="00420D60"/>
    <w:rsid w:val="0042373A"/>
    <w:rsid w:val="00432445"/>
    <w:rsid w:val="00462CB7"/>
    <w:rsid w:val="00476B53"/>
    <w:rsid w:val="004A0AAF"/>
    <w:rsid w:val="004A6140"/>
    <w:rsid w:val="00503A64"/>
    <w:rsid w:val="00512567"/>
    <w:rsid w:val="0053681C"/>
    <w:rsid w:val="00564D90"/>
    <w:rsid w:val="005A4545"/>
    <w:rsid w:val="005C2654"/>
    <w:rsid w:val="005F683C"/>
    <w:rsid w:val="005F71CB"/>
    <w:rsid w:val="00604B60"/>
    <w:rsid w:val="0060583C"/>
    <w:rsid w:val="00606EAC"/>
    <w:rsid w:val="006811DE"/>
    <w:rsid w:val="00692898"/>
    <w:rsid w:val="0069346E"/>
    <w:rsid w:val="006B4A93"/>
    <w:rsid w:val="006D55FF"/>
    <w:rsid w:val="006E1839"/>
    <w:rsid w:val="00712F91"/>
    <w:rsid w:val="00713EA2"/>
    <w:rsid w:val="00715C75"/>
    <w:rsid w:val="00732399"/>
    <w:rsid w:val="00732486"/>
    <w:rsid w:val="00732686"/>
    <w:rsid w:val="00740F93"/>
    <w:rsid w:val="007B064F"/>
    <w:rsid w:val="007E395D"/>
    <w:rsid w:val="007E5E32"/>
    <w:rsid w:val="00837012"/>
    <w:rsid w:val="00846584"/>
    <w:rsid w:val="00885619"/>
    <w:rsid w:val="00886C36"/>
    <w:rsid w:val="00887F70"/>
    <w:rsid w:val="00891F68"/>
    <w:rsid w:val="008B289E"/>
    <w:rsid w:val="00900C3C"/>
    <w:rsid w:val="009247B4"/>
    <w:rsid w:val="00936101"/>
    <w:rsid w:val="009404FD"/>
    <w:rsid w:val="009445EA"/>
    <w:rsid w:val="00985D9F"/>
    <w:rsid w:val="009908A5"/>
    <w:rsid w:val="009C0D24"/>
    <w:rsid w:val="00A05EE1"/>
    <w:rsid w:val="00A121EF"/>
    <w:rsid w:val="00A33EB8"/>
    <w:rsid w:val="00A551AC"/>
    <w:rsid w:val="00A557EE"/>
    <w:rsid w:val="00A714B2"/>
    <w:rsid w:val="00A940B7"/>
    <w:rsid w:val="00AA4104"/>
    <w:rsid w:val="00AB2358"/>
    <w:rsid w:val="00AB4F9C"/>
    <w:rsid w:val="00AC7AF3"/>
    <w:rsid w:val="00AE4595"/>
    <w:rsid w:val="00AF7567"/>
    <w:rsid w:val="00B106DB"/>
    <w:rsid w:val="00B25FB2"/>
    <w:rsid w:val="00B27302"/>
    <w:rsid w:val="00B40BCB"/>
    <w:rsid w:val="00B52A8A"/>
    <w:rsid w:val="00B60231"/>
    <w:rsid w:val="00BA49D9"/>
    <w:rsid w:val="00BB1E8F"/>
    <w:rsid w:val="00BD44FB"/>
    <w:rsid w:val="00C33DF0"/>
    <w:rsid w:val="00C34BE6"/>
    <w:rsid w:val="00C84A48"/>
    <w:rsid w:val="00CC22C2"/>
    <w:rsid w:val="00CD24EC"/>
    <w:rsid w:val="00CD6A63"/>
    <w:rsid w:val="00D16F02"/>
    <w:rsid w:val="00D64919"/>
    <w:rsid w:val="00D908FE"/>
    <w:rsid w:val="00DD79B2"/>
    <w:rsid w:val="00DF07DE"/>
    <w:rsid w:val="00E00CA4"/>
    <w:rsid w:val="00E15E96"/>
    <w:rsid w:val="00E1689F"/>
    <w:rsid w:val="00E17E71"/>
    <w:rsid w:val="00E23617"/>
    <w:rsid w:val="00E4435B"/>
    <w:rsid w:val="00E5352B"/>
    <w:rsid w:val="00E57CF7"/>
    <w:rsid w:val="00E70D88"/>
    <w:rsid w:val="00E93213"/>
    <w:rsid w:val="00EA6AA4"/>
    <w:rsid w:val="00EB04ED"/>
    <w:rsid w:val="00EE0739"/>
    <w:rsid w:val="00F00453"/>
    <w:rsid w:val="00F04733"/>
    <w:rsid w:val="00F14814"/>
    <w:rsid w:val="00F31289"/>
    <w:rsid w:val="00F43E56"/>
    <w:rsid w:val="00F440FE"/>
    <w:rsid w:val="00F55298"/>
    <w:rsid w:val="00F90F4F"/>
    <w:rsid w:val="00FA07B5"/>
    <w:rsid w:val="00FA24B4"/>
    <w:rsid w:val="00FB0CED"/>
    <w:rsid w:val="00FB40B1"/>
    <w:rsid w:val="00FC5520"/>
    <w:rsid w:val="00FC56B0"/>
    <w:rsid w:val="00FD2C4C"/>
    <w:rsid w:val="00FE6C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6D18"/>
  <w15:chartTrackingRefBased/>
  <w15:docId w15:val="{CD013000-8025-4C0D-A0EF-4812EF61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AF3"/>
    <w:rPr>
      <w:rFonts w:ascii="Tahoma" w:hAnsi="Tahoma"/>
      <w:sz w:val="24"/>
    </w:rPr>
  </w:style>
  <w:style w:type="paragraph" w:styleId="Heading1">
    <w:name w:val="heading 1"/>
    <w:basedOn w:val="Normal"/>
    <w:next w:val="Normal"/>
    <w:link w:val="Heading1Char"/>
    <w:uiPriority w:val="9"/>
    <w:qFormat/>
    <w:rsid w:val="00016B18"/>
    <w:pPr>
      <w:keepNext/>
      <w:keepLines/>
      <w:spacing w:before="240" w:after="0"/>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A940B7"/>
    <w:pPr>
      <w:keepNext/>
      <w:keepLines/>
      <w:spacing w:before="40" w:after="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26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68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121EF"/>
    <w:pPr>
      <w:ind w:left="720"/>
      <w:contextualSpacing/>
    </w:pPr>
  </w:style>
  <w:style w:type="character" w:customStyle="1" w:styleId="Heading1Char">
    <w:name w:val="Heading 1 Char"/>
    <w:basedOn w:val="DefaultParagraphFont"/>
    <w:link w:val="Heading1"/>
    <w:uiPriority w:val="9"/>
    <w:rsid w:val="00016B18"/>
    <w:rPr>
      <w:rFonts w:ascii="Tahoma" w:eastAsiaTheme="majorEastAsia" w:hAnsi="Tahoma" w:cstheme="majorBidi"/>
      <w:b/>
      <w:caps/>
      <w:sz w:val="32"/>
      <w:szCs w:val="32"/>
    </w:rPr>
  </w:style>
  <w:style w:type="character" w:styleId="Hyperlink">
    <w:name w:val="Hyperlink"/>
    <w:basedOn w:val="DefaultParagraphFont"/>
    <w:uiPriority w:val="99"/>
    <w:unhideWhenUsed/>
    <w:rsid w:val="00FA24B4"/>
    <w:rPr>
      <w:color w:val="0563C1" w:themeColor="hyperlink"/>
      <w:u w:val="single"/>
    </w:rPr>
  </w:style>
  <w:style w:type="character" w:styleId="UnresolvedMention">
    <w:name w:val="Unresolved Mention"/>
    <w:basedOn w:val="DefaultParagraphFont"/>
    <w:uiPriority w:val="99"/>
    <w:semiHidden/>
    <w:unhideWhenUsed/>
    <w:rsid w:val="00FA24B4"/>
    <w:rPr>
      <w:color w:val="605E5C"/>
      <w:shd w:val="clear" w:color="auto" w:fill="E1DFDD"/>
    </w:rPr>
  </w:style>
  <w:style w:type="character" w:customStyle="1" w:styleId="Heading2Char">
    <w:name w:val="Heading 2 Char"/>
    <w:basedOn w:val="DefaultParagraphFont"/>
    <w:link w:val="Heading2"/>
    <w:uiPriority w:val="9"/>
    <w:rsid w:val="00A940B7"/>
    <w:rPr>
      <w:rFonts w:ascii="Tahoma" w:eastAsiaTheme="majorEastAsia" w:hAnsi="Tahoma" w:cstheme="majorBidi"/>
      <w:b/>
      <w:sz w:val="32"/>
      <w:szCs w:val="26"/>
    </w:rPr>
  </w:style>
  <w:style w:type="character" w:styleId="FollowedHyperlink">
    <w:name w:val="FollowedHyperlink"/>
    <w:basedOn w:val="DefaultParagraphFont"/>
    <w:uiPriority w:val="99"/>
    <w:semiHidden/>
    <w:unhideWhenUsed/>
    <w:rsid w:val="001E7E78"/>
    <w:rPr>
      <w:color w:val="954F72" w:themeColor="followedHyperlink"/>
      <w:u w:val="single"/>
    </w:rPr>
  </w:style>
  <w:style w:type="character" w:customStyle="1" w:styleId="yadgie">
    <w:name w:val="yadgie"/>
    <w:basedOn w:val="DefaultParagraphFont"/>
    <w:rsid w:val="00AC7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2487">
      <w:bodyDiv w:val="1"/>
      <w:marLeft w:val="0"/>
      <w:marRight w:val="0"/>
      <w:marTop w:val="0"/>
      <w:marBottom w:val="0"/>
      <w:divBdr>
        <w:top w:val="none" w:sz="0" w:space="0" w:color="auto"/>
        <w:left w:val="none" w:sz="0" w:space="0" w:color="auto"/>
        <w:bottom w:val="none" w:sz="0" w:space="0" w:color="auto"/>
        <w:right w:val="none" w:sz="0" w:space="0" w:color="auto"/>
      </w:divBdr>
    </w:div>
    <w:div w:id="887377972">
      <w:bodyDiv w:val="1"/>
      <w:marLeft w:val="0"/>
      <w:marRight w:val="0"/>
      <w:marTop w:val="0"/>
      <w:marBottom w:val="0"/>
      <w:divBdr>
        <w:top w:val="none" w:sz="0" w:space="0" w:color="auto"/>
        <w:left w:val="none" w:sz="0" w:space="0" w:color="auto"/>
        <w:bottom w:val="none" w:sz="0" w:space="0" w:color="auto"/>
        <w:right w:val="none" w:sz="0" w:space="0" w:color="auto"/>
      </w:divBdr>
      <w:divsChild>
        <w:div w:id="1035429459">
          <w:marLeft w:val="75"/>
          <w:marRight w:val="75"/>
          <w:marTop w:val="75"/>
          <w:marBottom w:val="75"/>
          <w:divBdr>
            <w:top w:val="none" w:sz="0" w:space="0" w:color="auto"/>
            <w:left w:val="none" w:sz="0" w:space="0" w:color="auto"/>
            <w:bottom w:val="none" w:sz="0" w:space="0" w:color="auto"/>
            <w:right w:val="none" w:sz="0" w:space="0" w:color="auto"/>
          </w:divBdr>
          <w:divsChild>
            <w:div w:id="15893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5647">
      <w:bodyDiv w:val="1"/>
      <w:marLeft w:val="0"/>
      <w:marRight w:val="0"/>
      <w:marTop w:val="0"/>
      <w:marBottom w:val="0"/>
      <w:divBdr>
        <w:top w:val="none" w:sz="0" w:space="0" w:color="auto"/>
        <w:left w:val="none" w:sz="0" w:space="0" w:color="auto"/>
        <w:bottom w:val="none" w:sz="0" w:space="0" w:color="auto"/>
        <w:right w:val="none" w:sz="0" w:space="0" w:color="auto"/>
      </w:divBdr>
    </w:div>
    <w:div w:id="1776245210">
      <w:bodyDiv w:val="1"/>
      <w:marLeft w:val="0"/>
      <w:marRight w:val="0"/>
      <w:marTop w:val="0"/>
      <w:marBottom w:val="0"/>
      <w:divBdr>
        <w:top w:val="none" w:sz="0" w:space="0" w:color="auto"/>
        <w:left w:val="none" w:sz="0" w:space="0" w:color="auto"/>
        <w:bottom w:val="none" w:sz="0" w:space="0" w:color="auto"/>
        <w:right w:val="none" w:sz="0" w:space="0" w:color="auto"/>
      </w:divBdr>
      <w:divsChild>
        <w:div w:id="1429884078">
          <w:marLeft w:val="75"/>
          <w:marRight w:val="75"/>
          <w:marTop w:val="75"/>
          <w:marBottom w:val="75"/>
          <w:divBdr>
            <w:top w:val="none" w:sz="0" w:space="0" w:color="auto"/>
            <w:left w:val="none" w:sz="0" w:space="0" w:color="auto"/>
            <w:bottom w:val="none" w:sz="0" w:space="0" w:color="auto"/>
            <w:right w:val="none" w:sz="0" w:space="0" w:color="auto"/>
          </w:divBdr>
          <w:divsChild>
            <w:div w:id="11809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lcc.edu/instructors/design/accessibility/guidelines/" TargetMode="External"/><Relationship Id="rId13" Type="http://schemas.openxmlformats.org/officeDocument/2006/relationships/hyperlink" Target="https://www.lcc.edu/cte/support/accessibility.html" TargetMode="External"/><Relationship Id="rId18" Type="http://schemas.openxmlformats.org/officeDocument/2006/relationships/image" Target="media/image7.png"/><Relationship Id="rId26" Type="http://schemas.openxmlformats.org/officeDocument/2006/relationships/hyperlink" Target="https://webaim.org/resources/contrastchecker/" TargetMode="External"/><Relationship Id="rId3" Type="http://schemas.openxmlformats.org/officeDocument/2006/relationships/settings" Target="settings.xml"/><Relationship Id="rId21" Type="http://schemas.openxmlformats.org/officeDocument/2006/relationships/hyperlink" Target="https://www.lcc.edu/cte/support/accessibility.html" TargetMode="External"/><Relationship Id="rId7" Type="http://schemas.openxmlformats.org/officeDocument/2006/relationships/hyperlink" Target="https://www.ada.gov/resources/2024-03-08-web-rule/" TargetMode="External"/><Relationship Id="rId12" Type="http://schemas.openxmlformats.org/officeDocument/2006/relationships/hyperlink" Target="https://www.lcc.edu/cte/documents/microsoft-word-revised.pdf" TargetMode="External"/><Relationship Id="rId17" Type="http://schemas.openxmlformats.org/officeDocument/2006/relationships/hyperlink" Target="https://myd2l.lcc.edu/d2l/home" TargetMode="External"/><Relationship Id="rId25" Type="http://schemas.openxmlformats.org/officeDocument/2006/relationships/hyperlink" Target="https://elearning.lcc.edu/instructors/design/accessibility/external.html"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elearning.lcc.edu/instructors/design/accessibility/videos/"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24" Type="http://schemas.openxmlformats.org/officeDocument/2006/relationships/hyperlink" Target="https://elearning.lcc.edu/instructors/design/accessibility/" TargetMode="Externa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elearning.lcc.edu/instructors/integrations/ally/report.html"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lcc.edu/services/access/accessibility.html" TargetMode="External"/><Relationship Id="rId4" Type="http://schemas.openxmlformats.org/officeDocument/2006/relationships/webSettings" Target="webSettings.xml"/><Relationship Id="rId9" Type="http://schemas.openxmlformats.org/officeDocument/2006/relationships/hyperlink" Target="https://lcc.csod.com/LMS/catalog/Welcome.aspx?tab_page_id=-67&amp;tab_id=-1" TargetMode="External"/><Relationship Id="rId14" Type="http://schemas.openxmlformats.org/officeDocument/2006/relationships/hyperlink" Target="https://elearning.lcc.edu/instructors/design/accessibility/videos/" TargetMode="External"/><Relationship Id="rId22" Type="http://schemas.openxmlformats.org/officeDocument/2006/relationships/hyperlink" Target="https://elearning.lcc.edu/instructors/design/accessibility/training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4642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Swanson</dc:creator>
  <cp:keywords/>
  <dc:description/>
  <cp:lastModifiedBy>Mindy Ji</cp:lastModifiedBy>
  <cp:revision>2</cp:revision>
  <cp:lastPrinted>2026-05-28T18:51:00Z</cp:lastPrinted>
  <dcterms:created xsi:type="dcterms:W3CDTF">2026-07-06T14:48:00Z</dcterms:created>
  <dcterms:modified xsi:type="dcterms:W3CDTF">2026-07-06T14:48:00Z</dcterms:modified>
</cp:coreProperties>
</file>