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C7738" w14:textId="77777777" w:rsidR="009C651B" w:rsidRDefault="00D83211" w:rsidP="00FF31E4">
      <w:pPr>
        <w:pStyle w:val="Heading1"/>
      </w:pPr>
      <w:bookmarkStart w:id="0" w:name="Universal"/>
      <w:r>
        <w:t>Response Rate Monitoring</w:t>
      </w:r>
    </w:p>
    <w:bookmarkEnd w:id="0"/>
    <w:p w14:paraId="432667F3" w14:textId="77777777" w:rsidR="008160A1" w:rsidRDefault="008160A1" w:rsidP="009C651B">
      <w:pPr>
        <w:textAlignment w:val="baseline"/>
      </w:pPr>
      <w:r>
        <w:t>When</w:t>
      </w:r>
      <w:r w:rsidR="00D83211">
        <w:t xml:space="preserve"> the evaluation opens for student</w:t>
      </w:r>
      <w:r>
        <w:t xml:space="preserve"> input</w:t>
      </w:r>
      <w:r w:rsidR="00D83211">
        <w:t>, faculty can begin monitoring their response rates</w:t>
      </w:r>
      <w:r>
        <w:t xml:space="preserve"> at the same time</w:t>
      </w:r>
      <w:r w:rsidR="00D83211">
        <w:t xml:space="preserve">. Viewing real-time response rates of “Live” evaluations is one of the powerful features of Blue. </w:t>
      </w:r>
    </w:p>
    <w:p w14:paraId="336EAF7E" w14:textId="254DE41D" w:rsidR="009C651B" w:rsidRPr="005908A8" w:rsidRDefault="00871B41" w:rsidP="009C651B">
      <w:pPr>
        <w:textAlignment w:val="baseline"/>
        <w:rPr>
          <w:lang w:val="en"/>
        </w:rPr>
      </w:pPr>
      <w:r>
        <w:t xml:space="preserve">The course instructor(s) </w:t>
      </w:r>
      <w:bookmarkStart w:id="1" w:name="_GoBack"/>
      <w:r w:rsidR="00D83211">
        <w:t>will</w:t>
      </w:r>
      <w:bookmarkEnd w:id="1"/>
      <w:r w:rsidR="00D83211">
        <w:t xml:space="preserve"> </w:t>
      </w:r>
      <w:r w:rsidR="008160A1">
        <w:t xml:space="preserve">receive an email notification </w:t>
      </w:r>
      <w:r w:rsidR="00250855">
        <w:t>when students begin filling out their evaluations</w:t>
      </w:r>
      <w:r w:rsidR="008160A1">
        <w:t xml:space="preserve">. </w:t>
      </w:r>
      <w:r w:rsidR="00250855">
        <w:t>Y</w:t>
      </w:r>
      <w:r w:rsidR="00D83211">
        <w:t>our Subject Management Area</w:t>
      </w:r>
      <w:r w:rsidR="00250855">
        <w:t xml:space="preserve"> </w:t>
      </w:r>
      <w:r>
        <w:t xml:space="preserve">in Blue </w:t>
      </w:r>
      <w:r w:rsidR="00250855">
        <w:t>will allow you to</w:t>
      </w:r>
      <w:r w:rsidR="00D83211">
        <w:t xml:space="preserve"> see </w:t>
      </w:r>
      <w:r w:rsidR="00236124">
        <w:t xml:space="preserve">live </w:t>
      </w:r>
      <w:r w:rsidR="00250855">
        <w:t>response</w:t>
      </w:r>
      <w:r w:rsidR="00236124">
        <w:t xml:space="preserve"> information. From this you can determine if you </w:t>
      </w:r>
      <w:r w:rsidR="008160A1">
        <w:t>need to take action to increase student participation. As a reminder, t</w:t>
      </w:r>
      <w:r w:rsidR="00236124">
        <w:t xml:space="preserve">o </w:t>
      </w:r>
      <w:r>
        <w:t>e</w:t>
      </w:r>
      <w:r w:rsidR="00236124">
        <w:t xml:space="preserve">nsure student confidentiality, </w:t>
      </w:r>
      <w:r w:rsidR="009C64CB">
        <w:t xml:space="preserve">at least three students must complete an evaluation form </w:t>
      </w:r>
      <w:r w:rsidR="00236124">
        <w:t xml:space="preserve">to generate a report for you. If you see </w:t>
      </w:r>
      <w:r w:rsidR="008160A1">
        <w:t>a low rate there are things you can do to increase student responses</w:t>
      </w:r>
      <w:r w:rsidR="00250855">
        <w:t>. This handout walks you through the process.</w:t>
      </w:r>
    </w:p>
    <w:p w14:paraId="384F42ED" w14:textId="77777777" w:rsidR="009E047B" w:rsidRDefault="00D83211" w:rsidP="007D0151">
      <w:pPr>
        <w:pStyle w:val="Heading2"/>
        <w:spacing w:after="120"/>
        <w:sectPr w:rsidR="009E047B" w:rsidSect="00EE4788">
          <w:headerReference w:type="default" r:id="rId11"/>
          <w:footerReference w:type="default" r:id="rId12"/>
          <w:pgSz w:w="12240" w:h="15840" w:code="1"/>
          <w:pgMar w:top="720" w:right="720" w:bottom="720" w:left="720" w:header="432" w:footer="432" w:gutter="0"/>
          <w:cols w:space="720"/>
          <w:docGrid w:linePitch="360"/>
        </w:sectPr>
      </w:pPr>
      <w:r>
        <w:t>Items discussed in this handout:</w:t>
      </w:r>
    </w:p>
    <w:p w14:paraId="53C742E2" w14:textId="77777777" w:rsidR="00236124" w:rsidRDefault="00BF754A" w:rsidP="00236124">
      <w:pPr>
        <w:pStyle w:val="ListParagraph"/>
        <w:numPr>
          <w:ilvl w:val="0"/>
          <w:numId w:val="29"/>
        </w:numPr>
      </w:pPr>
      <w:hyperlink w:anchor="_Faculty_Notification" w:history="1">
        <w:r w:rsidR="00236124" w:rsidRPr="009D6B4C">
          <w:rPr>
            <w:rStyle w:val="Hyperlink"/>
          </w:rPr>
          <w:t>Faculty Notification</w:t>
        </w:r>
      </w:hyperlink>
    </w:p>
    <w:p w14:paraId="1E5DA834" w14:textId="77777777" w:rsidR="00167522" w:rsidRDefault="00BF754A" w:rsidP="00236124">
      <w:pPr>
        <w:pStyle w:val="ListParagraph"/>
        <w:numPr>
          <w:ilvl w:val="0"/>
          <w:numId w:val="29"/>
        </w:numPr>
      </w:pPr>
      <w:hyperlink w:anchor="_Subject_Management_Area" w:history="1">
        <w:r w:rsidR="00236124" w:rsidRPr="009D6B4C">
          <w:rPr>
            <w:rStyle w:val="Hyperlink"/>
          </w:rPr>
          <w:t>Using the Subject Management Area</w:t>
        </w:r>
      </w:hyperlink>
    </w:p>
    <w:p w14:paraId="0A0A8D0A" w14:textId="77777777" w:rsidR="00236124" w:rsidRDefault="00BF754A" w:rsidP="00F91E11">
      <w:pPr>
        <w:pStyle w:val="ListParagraph"/>
        <w:numPr>
          <w:ilvl w:val="0"/>
          <w:numId w:val="29"/>
        </w:numPr>
        <w:ind w:left="360"/>
      </w:pPr>
      <w:hyperlink w:anchor="_Ways_to_Increase" w:history="1">
        <w:r w:rsidR="00236124" w:rsidRPr="009D6B4C">
          <w:rPr>
            <w:rStyle w:val="Hyperlink"/>
          </w:rPr>
          <w:t>Ways to Increase Response Rates</w:t>
        </w:r>
      </w:hyperlink>
    </w:p>
    <w:p w14:paraId="51D16A4F" w14:textId="77777777" w:rsidR="009E047B" w:rsidRDefault="00BF754A" w:rsidP="009D6B4C">
      <w:pPr>
        <w:pStyle w:val="ListParagraph"/>
        <w:numPr>
          <w:ilvl w:val="0"/>
          <w:numId w:val="29"/>
        </w:numPr>
        <w:ind w:left="360"/>
      </w:pPr>
      <w:hyperlink w:anchor="_Where_to_submit" w:history="1">
        <w:r w:rsidR="00F91E11" w:rsidRPr="00F91E11">
          <w:rPr>
            <w:rStyle w:val="Hyperlink"/>
          </w:rPr>
          <w:t>Where to submit questions/comments</w:t>
        </w:r>
      </w:hyperlink>
    </w:p>
    <w:p w14:paraId="69E842F2" w14:textId="77777777" w:rsidR="00250855" w:rsidRDefault="00250855" w:rsidP="00F91E11">
      <w:pPr>
        <w:spacing w:after="120"/>
        <w:sectPr w:rsidR="00250855" w:rsidSect="00250855">
          <w:type w:val="continuous"/>
          <w:pgSz w:w="12240" w:h="15840" w:code="1"/>
          <w:pgMar w:top="720" w:right="720" w:bottom="720" w:left="720" w:header="432" w:footer="432" w:gutter="0"/>
          <w:cols w:num="2" w:space="720"/>
          <w:docGrid w:linePitch="360"/>
        </w:sectPr>
      </w:pPr>
    </w:p>
    <w:p w14:paraId="0E5D2D7C" w14:textId="77777777" w:rsidR="008160A1" w:rsidRDefault="008160A1" w:rsidP="007D0151">
      <w:pPr>
        <w:pStyle w:val="Heading2"/>
        <w:spacing w:after="0"/>
      </w:pPr>
      <w:bookmarkStart w:id="2" w:name="_Faculty_Notification"/>
      <w:bookmarkEnd w:id="2"/>
      <w:r>
        <w:t>Faculty Notification</w:t>
      </w:r>
    </w:p>
    <w:p w14:paraId="27A6B348" w14:textId="77777777" w:rsidR="00BE08C7" w:rsidRPr="00BE08C7" w:rsidRDefault="00BE08C7" w:rsidP="00BE08C7">
      <w:pPr>
        <w:rPr>
          <w:lang w:val="en"/>
        </w:rPr>
      </w:pPr>
      <w:r w:rsidRPr="00BE08C7">
        <w:rPr>
          <w:lang w:val="en"/>
        </w:rPr>
        <w:t>Faculty will receive an email notification</w:t>
      </w:r>
      <w:r w:rsidR="009C6919">
        <w:rPr>
          <w:lang w:val="en"/>
        </w:rPr>
        <w:t>,</w:t>
      </w:r>
      <w:r w:rsidRPr="00BE08C7">
        <w:rPr>
          <w:lang w:val="en"/>
        </w:rPr>
        <w:t xml:space="preserve"> </w:t>
      </w:r>
      <w:r w:rsidR="009C6919">
        <w:rPr>
          <w:lang w:val="en"/>
        </w:rPr>
        <w:t xml:space="preserve">that includes a link for their use, </w:t>
      </w:r>
      <w:r w:rsidRPr="00BE08C7">
        <w:rPr>
          <w:lang w:val="en"/>
        </w:rPr>
        <w:t xml:space="preserve">when their section evaluation is </w:t>
      </w:r>
      <w:r>
        <w:rPr>
          <w:lang w:val="en"/>
        </w:rPr>
        <w:t>open for students input</w:t>
      </w:r>
      <w:r w:rsidR="009C6919">
        <w:rPr>
          <w:lang w:val="en"/>
        </w:rPr>
        <w:t xml:space="preserve"> (“Live”)</w:t>
      </w:r>
      <w:r>
        <w:rPr>
          <w:lang w:val="en"/>
        </w:rPr>
        <w:t xml:space="preserve"> and ready for response rate monitoring </w:t>
      </w:r>
      <w:r w:rsidRPr="00BE08C7">
        <w:rPr>
          <w:lang w:val="en"/>
        </w:rPr>
        <w:t>. Most end of semester course evaluations are available for students to complete 30 days prior to the course end date. Less time may occur for early ending courses and formative evaluations.</w:t>
      </w:r>
    </w:p>
    <w:p w14:paraId="4138A4B4" w14:textId="5F9F6378" w:rsidR="00BE08C7" w:rsidRDefault="00BE08C7" w:rsidP="00BE08C7">
      <w:r w:rsidRPr="00BE08C7">
        <w:rPr>
          <w:lang w:val="en"/>
        </w:rPr>
        <w:t>The links these emails provide take you directly to your Subject Management area in Blue</w:t>
      </w:r>
      <w:r>
        <w:rPr>
          <w:lang w:val="en"/>
        </w:rPr>
        <w:t>.</w:t>
      </w:r>
      <w:r w:rsidRPr="00BE08C7">
        <w:rPr>
          <w:lang w:val="en"/>
        </w:rPr>
        <w:t xml:space="preserve"> </w:t>
      </w:r>
      <w:r w:rsidR="00EA4728">
        <w:t xml:space="preserve">The link may </w:t>
      </w:r>
      <w:r w:rsidR="007932AA">
        <w:t xml:space="preserve">route </w:t>
      </w:r>
      <w:r w:rsidR="00EA4728">
        <w:t xml:space="preserve"> you </w:t>
      </w:r>
      <w:r w:rsidR="007932AA">
        <w:t>through</w:t>
      </w:r>
      <w:r w:rsidR="00EA4728">
        <w:t xml:space="preserve"> LCC’s sign in page</w:t>
      </w:r>
      <w:r w:rsidR="007932AA">
        <w:t xml:space="preserve"> to get there</w:t>
      </w:r>
      <w:r w:rsidR="00EA4728">
        <w:t xml:space="preserve">, please log in </w:t>
      </w:r>
      <w:r w:rsidR="009C64CB">
        <w:t>using your LCC sign on credentials</w:t>
      </w:r>
      <w:r w:rsidR="00EA4728">
        <w:t>.</w:t>
      </w:r>
    </w:p>
    <w:p w14:paraId="3513552C" w14:textId="77777777" w:rsidR="00BE08C7" w:rsidRDefault="009C6919" w:rsidP="009C6919">
      <w:pPr>
        <w:spacing w:after="120"/>
      </w:pPr>
      <w:r>
        <w:t>Here’s an example email:</w:t>
      </w:r>
    </w:p>
    <w:p w14:paraId="41B75346" w14:textId="77777777" w:rsidR="009C6919" w:rsidRPr="00BE08C7" w:rsidRDefault="009C6919" w:rsidP="009C6919">
      <w:pPr>
        <w:jc w:val="center"/>
      </w:pPr>
      <w:r>
        <w:rPr>
          <w:noProof/>
        </w:rPr>
        <w:drawing>
          <wp:inline distT="0" distB="0" distL="0" distR="0" wp14:anchorId="1863BAB9" wp14:editId="44FF0E58">
            <wp:extent cx="6338894" cy="3657600"/>
            <wp:effectExtent l="0" t="0" r="5080" b="0"/>
            <wp:docPr id="2" name="Picture 2" descr="screen shot of example email showing from CDS, link to monitor response rates and keys for successful response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ktop SVM.PNG"/>
                    <pic:cNvPicPr/>
                  </pic:nvPicPr>
                  <pic:blipFill rotWithShape="1">
                    <a:blip r:embed="rId13">
                      <a:extLst>
                        <a:ext uri="{28A0092B-C50C-407E-A947-70E740481C1C}">
                          <a14:useLocalDpi xmlns:a14="http://schemas.microsoft.com/office/drawing/2010/main" val="0"/>
                        </a:ext>
                      </a:extLst>
                    </a:blip>
                    <a:srcRect b="8033"/>
                    <a:stretch/>
                  </pic:blipFill>
                  <pic:spPr bwMode="auto">
                    <a:xfrm>
                      <a:off x="0" y="0"/>
                      <a:ext cx="6338894" cy="3657600"/>
                    </a:xfrm>
                    <a:prstGeom prst="rect">
                      <a:avLst/>
                    </a:prstGeom>
                    <a:ln>
                      <a:noFill/>
                    </a:ln>
                    <a:extLst>
                      <a:ext uri="{53640926-AAD7-44D8-BBD7-CCE9431645EC}">
                        <a14:shadowObscured xmlns:a14="http://schemas.microsoft.com/office/drawing/2010/main"/>
                      </a:ext>
                    </a:extLst>
                  </pic:spPr>
                </pic:pic>
              </a:graphicData>
            </a:graphic>
          </wp:inline>
        </w:drawing>
      </w:r>
    </w:p>
    <w:p w14:paraId="3102798D" w14:textId="77777777" w:rsidR="00EA4728" w:rsidRDefault="00EA4728" w:rsidP="00EA4728">
      <w:r w:rsidRPr="00BE08C7">
        <w:rPr>
          <w:lang w:val="en"/>
        </w:rPr>
        <w:lastRenderedPageBreak/>
        <w:t xml:space="preserve">You can also access this area from the task list on your Blue home page or the Subject Management link on the top of that home page. </w:t>
      </w:r>
    </w:p>
    <w:p w14:paraId="46FDD6E3" w14:textId="77777777" w:rsidR="00856703" w:rsidRDefault="00856703" w:rsidP="00357D4D">
      <w:pPr>
        <w:spacing w:after="120"/>
      </w:pPr>
      <w:r>
        <w:t xml:space="preserve">Here’s a sample Blue Home Page indicating </w:t>
      </w:r>
      <w:r w:rsidR="00357D4D">
        <w:t>3 ways</w:t>
      </w:r>
      <w:r>
        <w:t xml:space="preserve"> to access the Subject Management area:</w:t>
      </w:r>
    </w:p>
    <w:p w14:paraId="132992F1" w14:textId="77777777" w:rsidR="00856703" w:rsidRDefault="00357D4D" w:rsidP="00FE4BE8">
      <w:pPr>
        <w:jc w:val="center"/>
      </w:pPr>
      <w:r>
        <w:rPr>
          <w:noProof/>
        </w:rPr>
        <w:drawing>
          <wp:inline distT="0" distB="0" distL="0" distR="0" wp14:anchorId="07D61639" wp14:editId="7E51D3DC">
            <wp:extent cx="5985163" cy="2194560"/>
            <wp:effectExtent l="0" t="0" r="0" b="0"/>
            <wp:docPr id="4" name="Picture 4" descr="screen shot of Blue Home Page indicating where the three ways to get to subject management can be found in the task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me Page View_get to subject management.jpg"/>
                    <pic:cNvPicPr/>
                  </pic:nvPicPr>
                  <pic:blipFill>
                    <a:blip r:embed="rId14">
                      <a:extLst>
                        <a:ext uri="{28A0092B-C50C-407E-A947-70E740481C1C}">
                          <a14:useLocalDpi xmlns:a14="http://schemas.microsoft.com/office/drawing/2010/main" val="0"/>
                        </a:ext>
                      </a:extLst>
                    </a:blip>
                    <a:stretch>
                      <a:fillRect/>
                    </a:stretch>
                  </pic:blipFill>
                  <pic:spPr>
                    <a:xfrm>
                      <a:off x="0" y="0"/>
                      <a:ext cx="5985163" cy="2194560"/>
                    </a:xfrm>
                    <a:prstGeom prst="rect">
                      <a:avLst/>
                    </a:prstGeom>
                  </pic:spPr>
                </pic:pic>
              </a:graphicData>
            </a:graphic>
          </wp:inline>
        </w:drawing>
      </w:r>
    </w:p>
    <w:p w14:paraId="3CF6DE2D" w14:textId="77777777" w:rsidR="00856703" w:rsidRDefault="00357D4D" w:rsidP="00357D4D">
      <w:pPr>
        <w:pStyle w:val="ListParagraph"/>
        <w:numPr>
          <w:ilvl w:val="0"/>
          <w:numId w:val="30"/>
        </w:numPr>
      </w:pPr>
      <w:r>
        <w:t>You can select the Subject Management button on the top of the page.</w:t>
      </w:r>
    </w:p>
    <w:p w14:paraId="65B627C8" w14:textId="77777777" w:rsidR="00357D4D" w:rsidRDefault="00357D4D" w:rsidP="00357D4D">
      <w:pPr>
        <w:pStyle w:val="ListParagraph"/>
        <w:numPr>
          <w:ilvl w:val="0"/>
          <w:numId w:val="30"/>
        </w:numPr>
      </w:pPr>
      <w:r>
        <w:t>You can select a specific task name.</w:t>
      </w:r>
    </w:p>
    <w:p w14:paraId="18210FC8" w14:textId="77777777" w:rsidR="00357D4D" w:rsidRDefault="00357D4D" w:rsidP="00357D4D">
      <w:pPr>
        <w:pStyle w:val="ListParagraph"/>
        <w:numPr>
          <w:ilvl w:val="0"/>
          <w:numId w:val="30"/>
        </w:numPr>
      </w:pPr>
      <w:r>
        <w:t>You can select the open button in a specific task.</w:t>
      </w:r>
    </w:p>
    <w:p w14:paraId="47672341" w14:textId="77777777" w:rsidR="008160A1" w:rsidRDefault="00856703" w:rsidP="008160A1">
      <w:r>
        <w:t xml:space="preserve">Faculty </w:t>
      </w:r>
      <w:r w:rsidR="006A2C56">
        <w:t>teaching full semester courses will</w:t>
      </w:r>
      <w:r>
        <w:t xml:space="preserve"> </w:t>
      </w:r>
      <w:r w:rsidR="006A2C56">
        <w:t>receive two reminder emails, with link</w:t>
      </w:r>
      <w:r w:rsidR="00173BBA">
        <w:t>s</w:t>
      </w:r>
      <w:r w:rsidR="006A2C56">
        <w:t>, regarding monitoring their response rates. The first reminder will be 10 days after the evaluation started and</w:t>
      </w:r>
      <w:r w:rsidR="007932AA">
        <w:t xml:space="preserve"> the</w:t>
      </w:r>
      <w:r w:rsidR="006A2C56">
        <w:t xml:space="preserve"> second 21 days after</w:t>
      </w:r>
      <w:r w:rsidR="007932AA">
        <w:t xml:space="preserve"> evaluation start date</w:t>
      </w:r>
      <w:r w:rsidR="006A2C56">
        <w:t xml:space="preserve">. Faculty teaching shorter </w:t>
      </w:r>
      <w:r w:rsidR="009C64CB">
        <w:t xml:space="preserve">term </w:t>
      </w:r>
      <w:r w:rsidR="006A2C56">
        <w:t>courses may only receive one email reminder.</w:t>
      </w:r>
    </w:p>
    <w:p w14:paraId="5AC045E9" w14:textId="77777777" w:rsidR="006A2C56" w:rsidRPr="008160A1" w:rsidRDefault="00250855" w:rsidP="008160A1">
      <w:r w:rsidRPr="007D0151">
        <w:rPr>
          <w:b/>
          <w:sz w:val="28"/>
          <w:szCs w:val="28"/>
        </w:rPr>
        <w:t>Note</w:t>
      </w:r>
      <w:r w:rsidR="006A2C56" w:rsidRPr="007D0151">
        <w:rPr>
          <w:b/>
          <w:sz w:val="28"/>
          <w:szCs w:val="28"/>
        </w:rPr>
        <w:t>:</w:t>
      </w:r>
      <w:r w:rsidR="006A2C56" w:rsidRPr="007D0151">
        <w:rPr>
          <w:sz w:val="28"/>
          <w:szCs w:val="28"/>
        </w:rPr>
        <w:t xml:space="preserve"> </w:t>
      </w:r>
      <w:r w:rsidR="006A2C56">
        <w:t xml:space="preserve">You </w:t>
      </w:r>
      <w:r w:rsidR="00355FF9">
        <w:t xml:space="preserve">do not need to wait for email notifications but </w:t>
      </w:r>
      <w:r w:rsidR="006A2C56">
        <w:t xml:space="preserve">can go to your Blue </w:t>
      </w:r>
      <w:r w:rsidR="00173BBA">
        <w:t>h</w:t>
      </w:r>
      <w:r w:rsidR="006A2C56">
        <w:t xml:space="preserve">ome </w:t>
      </w:r>
      <w:r w:rsidR="00173BBA">
        <w:t>p</w:t>
      </w:r>
      <w:r w:rsidR="006A2C56">
        <w:t xml:space="preserve">age at any time to review all your course tasks and reports. </w:t>
      </w:r>
      <w:r w:rsidR="00355FF9">
        <w:t xml:space="preserve">Options include: Use this </w:t>
      </w:r>
      <w:hyperlink r:id="rId15" w:history="1">
        <w:r w:rsidR="00355FF9" w:rsidRPr="00355FF9">
          <w:rPr>
            <w:rStyle w:val="Hyperlink"/>
          </w:rPr>
          <w:t>Blue Home Page Link: https://lcc.bluera.com/lcc/</w:t>
        </w:r>
      </w:hyperlink>
      <w:r w:rsidR="00355FF9">
        <w:t xml:space="preserve">; bookmark the site once you are there and use that; or use the Explorance Blue link found in myLCC employee toolbox. </w:t>
      </w:r>
    </w:p>
    <w:p w14:paraId="1D46D88F" w14:textId="77777777" w:rsidR="00FE4BE8" w:rsidRDefault="00167522" w:rsidP="006B2171">
      <w:pPr>
        <w:pStyle w:val="Heading2"/>
        <w:spacing w:after="0"/>
        <w:sectPr w:rsidR="00FE4BE8" w:rsidSect="009E047B">
          <w:type w:val="continuous"/>
          <w:pgSz w:w="12240" w:h="15840" w:code="1"/>
          <w:pgMar w:top="720" w:right="720" w:bottom="720" w:left="720" w:header="432" w:footer="432" w:gutter="0"/>
          <w:cols w:space="720"/>
          <w:docGrid w:linePitch="360"/>
        </w:sectPr>
      </w:pPr>
      <w:bookmarkStart w:id="3" w:name="_Subject_Management_Area"/>
      <w:bookmarkEnd w:id="3"/>
      <w:r>
        <w:t>Subject Management Area</w:t>
      </w:r>
    </w:p>
    <w:p w14:paraId="761633A5" w14:textId="77777777" w:rsidR="006B2171" w:rsidRDefault="006B2171" w:rsidP="000B517B"/>
    <w:p w14:paraId="0073A175" w14:textId="35FBF0B2" w:rsidR="006B2171" w:rsidRDefault="001B642E" w:rsidP="000B517B">
      <w:r>
        <w:t xml:space="preserve">Viewing response rates means you are looking at “Live” blocks in your Subject Management Area. </w:t>
      </w:r>
      <w:r w:rsidR="00FE4BE8">
        <w:t>In the</w:t>
      </w:r>
      <w:r>
        <w:t xml:space="preserve"> sample “Live” block</w:t>
      </w:r>
      <w:r w:rsidR="006B2171">
        <w:t xml:space="preserve">, next to this paragraph, </w:t>
      </w:r>
      <w:r>
        <w:t>you can see the</w:t>
      </w:r>
      <w:r w:rsidR="006B2171">
        <w:t xml:space="preserve"> circled</w:t>
      </w:r>
      <w:r>
        <w:t xml:space="preserve"> Live </w:t>
      </w:r>
      <w:r w:rsidR="009540AC">
        <w:t>designation</w:t>
      </w:r>
      <w:r w:rsidR="006B2171">
        <w:t>.</w:t>
      </w:r>
      <w:r>
        <w:t xml:space="preserve"> Student information includes number invited, number that have started but not submitted, number of submitted responses, any opted out students (LCC doesn’t use this option), the end date of the evaluation, and the</w:t>
      </w:r>
      <w:r w:rsidR="009540AC">
        <w:t xml:space="preserve"> overall</w:t>
      </w:r>
      <w:r>
        <w:t xml:space="preserve"> response rate percentage. Also on this example</w:t>
      </w:r>
      <w:r w:rsidR="009540AC">
        <w:t>,</w:t>
      </w:r>
      <w:r>
        <w:t xml:space="preserve"> the arrow </w:t>
      </w:r>
      <w:r w:rsidR="009540AC">
        <w:t>indicates</w:t>
      </w:r>
      <w:r>
        <w:t xml:space="preserve"> where to click for more options.</w:t>
      </w:r>
    </w:p>
    <w:p w14:paraId="2EC286E9" w14:textId="60ED08B3" w:rsidR="006B2171" w:rsidRDefault="006B2171" w:rsidP="000B517B">
      <w:pPr>
        <w:sectPr w:rsidR="006B2171" w:rsidSect="006B2171">
          <w:type w:val="continuous"/>
          <w:pgSz w:w="12240" w:h="15840" w:code="1"/>
          <w:pgMar w:top="720" w:right="720" w:bottom="720" w:left="720" w:header="432" w:footer="432" w:gutter="0"/>
          <w:cols w:num="2" w:space="720"/>
          <w:docGrid w:linePitch="360"/>
        </w:sectPr>
      </w:pPr>
      <w:r w:rsidRPr="006B2171">
        <w:rPr>
          <w:noProof/>
        </w:rPr>
        <w:t xml:space="preserve"> </w:t>
      </w:r>
      <w:r>
        <w:rPr>
          <w:noProof/>
        </w:rPr>
        <w:drawing>
          <wp:inline distT="0" distB="0" distL="0" distR="0" wp14:anchorId="41A02D5C" wp14:editId="628CCBCE">
            <wp:extent cx="2632464" cy="2834640"/>
            <wp:effectExtent l="0" t="0" r="0" b="3810"/>
            <wp:docPr id="3" name="Picture 3" descr="Screen shot of what a &quot;Live&quot; block looks like in the Subject Management area. With the Live title circled and an arrow pointing to the three dot link for mor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M live bloc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32464" cy="2834640"/>
                    </a:xfrm>
                    <a:prstGeom prst="rect">
                      <a:avLst/>
                    </a:prstGeom>
                  </pic:spPr>
                </pic:pic>
              </a:graphicData>
            </a:graphic>
          </wp:inline>
        </w:drawing>
      </w:r>
    </w:p>
    <w:p w14:paraId="0BC51F57" w14:textId="3C4DAF2D" w:rsidR="006B2171" w:rsidRDefault="006B2171" w:rsidP="000B517B">
      <w:pPr>
        <w:sectPr w:rsidR="006B2171" w:rsidSect="006B2171">
          <w:type w:val="continuous"/>
          <w:pgSz w:w="12240" w:h="15840" w:code="1"/>
          <w:pgMar w:top="720" w:right="720" w:bottom="720" w:left="720" w:header="432" w:footer="432" w:gutter="0"/>
          <w:cols w:num="2" w:space="720"/>
          <w:docGrid w:linePitch="360"/>
        </w:sectPr>
      </w:pPr>
    </w:p>
    <w:p w14:paraId="244FFB23" w14:textId="77777777" w:rsidR="00B53FD7" w:rsidRDefault="00C00154" w:rsidP="000B517B">
      <w:r>
        <w:lastRenderedPageBreak/>
        <w:t xml:space="preserve">Selecting </w:t>
      </w:r>
      <w:r w:rsidR="006E0DFB">
        <w:t xml:space="preserve">the three dot </w:t>
      </w:r>
      <w:r>
        <w:t xml:space="preserve">“More options” </w:t>
      </w:r>
      <w:r w:rsidR="006E0DFB">
        <w:t xml:space="preserve">button allows you to choose between viewing settings and </w:t>
      </w:r>
      <w:r w:rsidR="00B53FD7">
        <w:t xml:space="preserve">viewing respondents. During response monitoring the evaluation is live so LCC recommends you not change any settings at this time. However, if you select review respondents you can see the roster of students that are being sent the evaluation and if they received an email. For end of semester course evaluations you may also see if they have completed the evaluation, but you will not be able to see what their responses were on an individual basis. </w:t>
      </w:r>
      <w:r w:rsidR="00FE4BE8">
        <w:t xml:space="preserve">Students are </w:t>
      </w:r>
      <w:r w:rsidR="00520E4E">
        <w:t xml:space="preserve">called </w:t>
      </w:r>
      <w:r w:rsidR="00FE4BE8">
        <w:t>“raters” in the Blue system, because they are rating the courses.</w:t>
      </w:r>
    </w:p>
    <w:p w14:paraId="2B623FD6" w14:textId="77777777" w:rsidR="00FE4BE8" w:rsidRDefault="00D61520" w:rsidP="00FE4BE8">
      <w:pPr>
        <w:jc w:val="center"/>
        <w:sectPr w:rsidR="00FE4BE8" w:rsidSect="00FE4BE8">
          <w:pgSz w:w="12240" w:h="15840" w:code="1"/>
          <w:pgMar w:top="720" w:right="720" w:bottom="720" w:left="720" w:header="432" w:footer="432" w:gutter="0"/>
          <w:cols w:space="720"/>
          <w:docGrid w:linePitch="360"/>
        </w:sectPr>
      </w:pPr>
      <w:r>
        <w:rPr>
          <w:noProof/>
        </w:rPr>
        <w:drawing>
          <wp:inline distT="0" distB="0" distL="0" distR="0" wp14:anchorId="25E4E077" wp14:editId="5883F79E">
            <wp:extent cx="5769735" cy="2560320"/>
            <wp:effectExtent l="0" t="0" r="2540" b="0"/>
            <wp:docPr id="7" name="Picture 7" descr="response rates details - screen shot showing columns for student name, course, and email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ster.jpg"/>
                    <pic:cNvPicPr/>
                  </pic:nvPicPr>
                  <pic:blipFill>
                    <a:blip r:embed="rId17">
                      <a:extLst>
                        <a:ext uri="{28A0092B-C50C-407E-A947-70E740481C1C}">
                          <a14:useLocalDpi xmlns:a14="http://schemas.microsoft.com/office/drawing/2010/main" val="0"/>
                        </a:ext>
                      </a:extLst>
                    </a:blip>
                    <a:stretch>
                      <a:fillRect/>
                    </a:stretch>
                  </pic:blipFill>
                  <pic:spPr>
                    <a:xfrm>
                      <a:off x="0" y="0"/>
                      <a:ext cx="5769735" cy="2560320"/>
                    </a:xfrm>
                    <a:prstGeom prst="rect">
                      <a:avLst/>
                    </a:prstGeom>
                  </pic:spPr>
                </pic:pic>
              </a:graphicData>
            </a:graphic>
          </wp:inline>
        </w:drawing>
      </w:r>
    </w:p>
    <w:p w14:paraId="7337D193" w14:textId="77777777" w:rsidR="00FE4BE8" w:rsidRDefault="00FE4BE8" w:rsidP="00FE4BE8">
      <w:r>
        <w:t>Once done viewing click the “x” in the upper right corner to close the view.</w:t>
      </w:r>
    </w:p>
    <w:p w14:paraId="3F6FF6A1" w14:textId="77777777" w:rsidR="00FE4BE8" w:rsidRDefault="00FE4BE8" w:rsidP="007D0151">
      <w:pPr>
        <w:pStyle w:val="Heading2"/>
        <w:spacing w:after="0"/>
      </w:pPr>
      <w:bookmarkStart w:id="4" w:name="_Ways_to_Increase"/>
      <w:bookmarkEnd w:id="4"/>
      <w:r>
        <w:t>Ways to Increase Response Rates</w:t>
      </w:r>
    </w:p>
    <w:p w14:paraId="45554CA3" w14:textId="77777777" w:rsidR="00FE4BE8" w:rsidRDefault="009540AC" w:rsidP="00FE4BE8">
      <w:r>
        <w:t>Students receive initial emails</w:t>
      </w:r>
      <w:r w:rsidR="004315FE">
        <w:t xml:space="preserve"> (to their LCC student email address)</w:t>
      </w:r>
      <w:r>
        <w:t xml:space="preserve">, with links, when the evaluation is open for their input. </w:t>
      </w:r>
      <w:r w:rsidR="00F524EF">
        <w:t>They</w:t>
      </w:r>
      <w:r>
        <w:t xml:space="preserve"> will also receive up to three reminders, once they submit the evaluation the reminders will end. Reminder 1 is sent ½ way through the open evaluation window, reminder 2 is sent when the evaluation</w:t>
      </w:r>
      <w:r w:rsidR="00F524EF">
        <w:t xml:space="preserve"> time</w:t>
      </w:r>
      <w:r>
        <w:t xml:space="preserve"> is 80% over, and the third reminder is </w:t>
      </w:r>
      <w:r w:rsidR="00F524EF">
        <w:t xml:space="preserve">sent </w:t>
      </w:r>
      <w:r>
        <w:t>the day before the evaluation closes.</w:t>
      </w:r>
      <w:r w:rsidR="00F524EF">
        <w:t xml:space="preserve"> Students also receive popups for open evaluation tasks when logging into D2L.</w:t>
      </w:r>
    </w:p>
    <w:p w14:paraId="7469F45C" w14:textId="77777777" w:rsidR="00822C9C" w:rsidRDefault="00F524EF" w:rsidP="00822C9C">
      <w:r>
        <w:t xml:space="preserve">The emails and D2L popups are handy default measures to let students know about the course evaluation. However, those are often simply ignored. The best way to increase student response rates is to have faculty involvement. There are three proven ways faculty can increase their response rates: </w:t>
      </w:r>
      <w:r w:rsidR="00822C9C">
        <w:t xml:space="preserve">Create value for students; In-class capture; and </w:t>
      </w:r>
      <w:r>
        <w:t xml:space="preserve">Monitor and communicate. </w:t>
      </w:r>
      <w:r w:rsidR="007D0151">
        <w:t>These give a lot of impact but don’t take a lot of time.</w:t>
      </w:r>
    </w:p>
    <w:p w14:paraId="1FD063E3" w14:textId="77777777" w:rsidR="00822C9C" w:rsidRDefault="00822C9C" w:rsidP="007D0151">
      <w:pPr>
        <w:pStyle w:val="Heading3"/>
        <w:spacing w:after="0"/>
      </w:pPr>
      <w:r>
        <w:t>Create Value for Students</w:t>
      </w:r>
    </w:p>
    <w:p w14:paraId="1894B5B0" w14:textId="77777777" w:rsidR="00822C9C" w:rsidRDefault="00822C9C" w:rsidP="007D0151">
      <w:pPr>
        <w:spacing w:after="120"/>
      </w:pPr>
      <w:r>
        <w:t xml:space="preserve">Research and best practice consistently show the single greatest factor to increase participation in online student ratings is for faculty to express and demonstrate how the results are important and used in making meaningful </w:t>
      </w:r>
      <w:r w:rsidR="00F706DE">
        <w:t xml:space="preserve">change. One faculty, Kristine Cuddy, LCC Community Health Service, </w:t>
      </w:r>
      <w:r w:rsidR="007D0151">
        <w:t>who had</w:t>
      </w:r>
      <w:r w:rsidR="00F706DE">
        <w:t xml:space="preserve"> </w:t>
      </w:r>
      <w:r w:rsidR="007D0151">
        <w:t>a</w:t>
      </w:r>
      <w:r w:rsidR="00F706DE">
        <w:t xml:space="preserve"> 100% response rate puts it well:</w:t>
      </w:r>
    </w:p>
    <w:p w14:paraId="1C0AD996" w14:textId="77777777" w:rsidR="00F706DE" w:rsidRPr="00822C9C" w:rsidRDefault="00F706DE" w:rsidP="00F706DE">
      <w:pPr>
        <w:ind w:left="720"/>
      </w:pPr>
      <w:r>
        <w:t>“I really stress to the students that it’s as important for me to have their feedback as it is for them to have my feedback during the course. Also, that I take to heart the good, the bad and the ugly, that I learn something new every day and their input is vital for me to learn and grow and be a better instructor.”</w:t>
      </w:r>
    </w:p>
    <w:p w14:paraId="674A0F41" w14:textId="77777777" w:rsidR="00822C9C" w:rsidRDefault="00822C9C" w:rsidP="007D0151">
      <w:pPr>
        <w:pStyle w:val="Heading3"/>
        <w:spacing w:after="0"/>
      </w:pPr>
      <w:r>
        <w:t>In-class Capture</w:t>
      </w:r>
    </w:p>
    <w:p w14:paraId="1F38208F" w14:textId="77777777" w:rsidR="00822C9C" w:rsidRDefault="00F706DE" w:rsidP="007D0151">
      <w:pPr>
        <w:spacing w:after="120"/>
      </w:pPr>
      <w:r>
        <w:t xml:space="preserve">Setting aside time in class to complete the evaluations is the next most influential factor in getting good response rates. </w:t>
      </w:r>
      <w:r w:rsidR="00822C9C">
        <w:t xml:space="preserve"> </w:t>
      </w:r>
      <w:r w:rsidR="004315FE">
        <w:t xml:space="preserve">Allowing approximately 10 minutes, </w:t>
      </w:r>
      <w:r>
        <w:t xml:space="preserve">for any </w:t>
      </w:r>
      <w:r w:rsidR="004315FE">
        <w:t xml:space="preserve">course </w:t>
      </w:r>
      <w:r>
        <w:t>modality</w:t>
      </w:r>
      <w:r w:rsidR="004315FE">
        <w:t>, can make a huge difference in your response rates</w:t>
      </w:r>
      <w:r>
        <w:t>. Daniel Rafail discuss</w:t>
      </w:r>
      <w:r w:rsidR="004315FE">
        <w:t>es</w:t>
      </w:r>
      <w:r>
        <w:t xml:space="preserve"> his face-to-face sections</w:t>
      </w:r>
      <w:r w:rsidR="004315FE">
        <w:t xml:space="preserve"> and how he had a</w:t>
      </w:r>
      <w:r w:rsidR="007D0151">
        <w:t>n</w:t>
      </w:r>
      <w:r w:rsidR="004315FE">
        <w:t xml:space="preserve"> 82% response rate in </w:t>
      </w:r>
      <w:r w:rsidR="007D0151">
        <w:t xml:space="preserve">LCC </w:t>
      </w:r>
      <w:r w:rsidR="004315FE">
        <w:t>Computer Information Technologies:</w:t>
      </w:r>
    </w:p>
    <w:p w14:paraId="4745CFA9" w14:textId="77777777" w:rsidR="004315FE" w:rsidRDefault="004315FE" w:rsidP="007D0151">
      <w:pPr>
        <w:spacing w:after="120"/>
        <w:ind w:left="720"/>
      </w:pPr>
      <w:r>
        <w:t>“I find the highest response rates in face-to-face sections when we take time during a regular class session for evaluation because it becomes a priority for students that does not compete with other classes, work, family or other outside obligations.”</w:t>
      </w:r>
    </w:p>
    <w:p w14:paraId="5C3C6BB2" w14:textId="77777777" w:rsidR="00822C9C" w:rsidRDefault="00822C9C" w:rsidP="007D0151">
      <w:pPr>
        <w:pStyle w:val="Heading3"/>
        <w:spacing w:after="0"/>
      </w:pPr>
      <w:r>
        <w:t>Monitor &amp; Communicate</w:t>
      </w:r>
    </w:p>
    <w:p w14:paraId="14FC7BAF" w14:textId="77777777" w:rsidR="004315FE" w:rsidRDefault="00822C9C" w:rsidP="007D0151">
      <w:pPr>
        <w:spacing w:after="120"/>
      </w:pPr>
      <w:r>
        <w:t xml:space="preserve">By using Blue to check on response rates you can keep your class updated on their progress. </w:t>
      </w:r>
      <w:r w:rsidR="004315FE">
        <w:t xml:space="preserve">Jeff Janowick, from </w:t>
      </w:r>
      <w:r w:rsidR="007D0151">
        <w:t xml:space="preserve">LCC </w:t>
      </w:r>
      <w:r w:rsidR="004315FE">
        <w:t xml:space="preserve">History, used this </w:t>
      </w:r>
      <w:r w:rsidR="007D0151">
        <w:t xml:space="preserve">technique </w:t>
      </w:r>
      <w:r w:rsidR="004315FE">
        <w:t>to get a</w:t>
      </w:r>
      <w:r w:rsidR="007D0151">
        <w:t>n</w:t>
      </w:r>
      <w:r w:rsidR="004315FE">
        <w:t xml:space="preserve"> 85% response rate.</w:t>
      </w:r>
    </w:p>
    <w:p w14:paraId="3521B141" w14:textId="77777777" w:rsidR="004315FE" w:rsidRDefault="004315FE" w:rsidP="007F3070">
      <w:pPr>
        <w:ind w:left="720"/>
      </w:pPr>
      <w:r>
        <w:t>“I kept the class updated as to their progress-OK, we’re at 50, 65, 75 percent. I also made sure they knew how many more students had to complete it to get to the 80 percent target. I think this gave some of the holdouts the incentive to complete.”</w:t>
      </w:r>
    </w:p>
    <w:p w14:paraId="6899EBCB" w14:textId="77777777" w:rsidR="00F706DE" w:rsidRPr="00822C9C" w:rsidRDefault="007D0151" w:rsidP="007D0151">
      <w:pPr>
        <w:spacing w:after="240"/>
      </w:pPr>
      <w:r w:rsidRPr="007D0151">
        <w:rPr>
          <w:b/>
          <w:sz w:val="28"/>
          <w:szCs w:val="28"/>
        </w:rPr>
        <w:t>Note</w:t>
      </w:r>
      <w:r w:rsidR="004315FE" w:rsidRPr="007D0151">
        <w:rPr>
          <w:b/>
          <w:sz w:val="28"/>
          <w:szCs w:val="28"/>
        </w:rPr>
        <w:t>:</w:t>
      </w:r>
      <w:r w:rsidR="004315FE">
        <w:t xml:space="preserve"> </w:t>
      </w:r>
      <w:r w:rsidR="00F706DE">
        <w:t xml:space="preserve">Students can use computers or mobile devices with an internet connection such as smart phones, tablets, etc. to access their evaluations. </w:t>
      </w:r>
      <w:r w:rsidR="004315FE">
        <w:t xml:space="preserve">You can remind them to look at their LCC student email inboxes for evaluation reminders, click on D2L popups, or post the standard Blue home page link for their use on your D2L page (it will take users to their specific home page) </w:t>
      </w:r>
      <w:hyperlink r:id="rId18" w:history="1">
        <w:r w:rsidR="004315FE" w:rsidRPr="00355FF9">
          <w:rPr>
            <w:rStyle w:val="Hyperlink"/>
          </w:rPr>
          <w:t>Blue Home Page Link: https://lcc.bluera.com/lcc/</w:t>
        </w:r>
      </w:hyperlink>
      <w:r w:rsidR="004315FE">
        <w:t>.</w:t>
      </w:r>
    </w:p>
    <w:p w14:paraId="73F7BB23" w14:textId="77777777" w:rsidR="00F91E11" w:rsidRDefault="00F91E11" w:rsidP="007D0151">
      <w:pPr>
        <w:pStyle w:val="Heading2"/>
        <w:spacing w:after="0"/>
      </w:pPr>
      <w:bookmarkStart w:id="5" w:name="_Questions_regarding_information"/>
      <w:bookmarkStart w:id="6" w:name="_Where_to_submit"/>
      <w:bookmarkStart w:id="7" w:name="_Hlk118291125"/>
      <w:bookmarkEnd w:id="5"/>
      <w:bookmarkEnd w:id="6"/>
      <w:r>
        <w:t>Where to submit questions/comments</w:t>
      </w:r>
    </w:p>
    <w:p w14:paraId="01D3193E" w14:textId="77777777" w:rsidR="000B517B" w:rsidRDefault="000B517B" w:rsidP="00F91E11">
      <w:pPr>
        <w:pStyle w:val="Heading3"/>
        <w:spacing w:after="0"/>
      </w:pPr>
      <w:r>
        <w:t xml:space="preserve">Questions regarding information from this </w:t>
      </w:r>
      <w:r w:rsidR="00E54D33">
        <w:t>h</w:t>
      </w:r>
      <w:r>
        <w:t>andout</w:t>
      </w:r>
    </w:p>
    <w:p w14:paraId="1A7C05D0" w14:textId="77777777" w:rsidR="000B517B" w:rsidRPr="00FB38DA" w:rsidRDefault="000B517B" w:rsidP="007D0151">
      <w:pPr>
        <w:spacing w:after="240"/>
      </w:pPr>
      <w:r>
        <w:t>Please direct any questions regarding information from this handout to t</w:t>
      </w:r>
      <w:r w:rsidRPr="009B4AF2">
        <w:t xml:space="preserve">he </w:t>
      </w:r>
      <w:hyperlink r:id="rId19" w:history="1">
        <w:r w:rsidRPr="00804319">
          <w:rPr>
            <w:rStyle w:val="Hyperlink"/>
          </w:rPr>
          <w:t>Center for Data Science at lcc-cds@star.lcc.edu</w:t>
        </w:r>
      </w:hyperlink>
      <w:r>
        <w:t>. Someone will reply to your email as soon as possible.</w:t>
      </w:r>
    </w:p>
    <w:p w14:paraId="22F7CF70" w14:textId="77777777" w:rsidR="009C651B" w:rsidRPr="009B4AF2" w:rsidRDefault="00A757CF" w:rsidP="00F91E11">
      <w:pPr>
        <w:pStyle w:val="Heading3"/>
        <w:spacing w:after="0"/>
      </w:pPr>
      <w:bookmarkStart w:id="8" w:name="_Offering_comments_and/or"/>
      <w:bookmarkEnd w:id="8"/>
      <w:r>
        <w:t>Offering comments and/or other feedback regarding this handout</w:t>
      </w:r>
    </w:p>
    <w:p w14:paraId="17DDC21F" w14:textId="77777777" w:rsidR="009C651B" w:rsidRPr="009B4AF2" w:rsidRDefault="009C651B" w:rsidP="007D0151">
      <w:pPr>
        <w:spacing w:after="0"/>
      </w:pPr>
      <w:r w:rsidRPr="009B4AF2">
        <w:t xml:space="preserve">This system is ever evolving and your input is valued. Please send any comments or other feedback to the </w:t>
      </w:r>
      <w:hyperlink r:id="rId20" w:history="1">
        <w:r w:rsidRPr="00804319">
          <w:rPr>
            <w:rStyle w:val="Hyperlink"/>
          </w:rPr>
          <w:t>Center for Data Science at lcc-cds@star.lcc.edu</w:t>
        </w:r>
      </w:hyperlink>
      <w:r>
        <w:t>.</w:t>
      </w:r>
      <w:r w:rsidRPr="009B4AF2">
        <w:t xml:space="preserve"> </w:t>
      </w:r>
      <w:r w:rsidR="00A757CF">
        <w:t>Content/system changes</w:t>
      </w:r>
      <w:r w:rsidRPr="009B4AF2">
        <w:t xml:space="preserve"> will be forwarded to CASL for their review and discussion. Any proposed</w:t>
      </w:r>
      <w:r w:rsidR="00A757CF">
        <w:t xml:space="preserve"> content/system</w:t>
      </w:r>
      <w:r w:rsidRPr="009B4AF2">
        <w:t xml:space="preserve"> changes will be voted on during their meeting and implemented by CDS upon their request.</w:t>
      </w:r>
    </w:p>
    <w:bookmarkEnd w:id="7"/>
    <w:p w14:paraId="316CEF36" w14:textId="77777777" w:rsidR="00FF31E4" w:rsidRPr="009B4AF2" w:rsidRDefault="00FF31E4" w:rsidP="00F91E11">
      <w:pPr>
        <w:spacing w:before="480" w:after="0"/>
        <w:jc w:val="center"/>
      </w:pPr>
      <w:r w:rsidRPr="009B4AF2">
        <w:t>---</w:t>
      </w:r>
    </w:p>
    <w:p w14:paraId="3B21BD30" w14:textId="77777777" w:rsidR="00F91E11" w:rsidRDefault="00F91E11" w:rsidP="00FF31E4">
      <w:pPr>
        <w:rPr>
          <w:i/>
        </w:rPr>
      </w:pPr>
      <w:r>
        <w:rPr>
          <w:i/>
        </w:rPr>
        <w:t>LCC provides equal opportunity for all persons and prohibits discriminatory practices based on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sectPr w:rsidR="00F91E11" w:rsidSect="009E047B">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E5EBB" w14:textId="77777777" w:rsidR="009C651B" w:rsidRDefault="009C651B" w:rsidP="00D76A8A">
      <w:r>
        <w:separator/>
      </w:r>
    </w:p>
  </w:endnote>
  <w:endnote w:type="continuationSeparator" w:id="0">
    <w:p w14:paraId="7A570E65" w14:textId="77777777" w:rsidR="009C651B" w:rsidRDefault="009C651B" w:rsidP="00D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14:paraId="71AA7CAA" w14:textId="77777777" w:rsidR="001C78F6" w:rsidRDefault="009B4AF2" w:rsidP="009B4AF2">
        <w:pPr>
          <w:pStyle w:val="Footer"/>
          <w:tabs>
            <w:tab w:val="clear" w:pos="9360"/>
            <w:tab w:val="right" w:pos="10710"/>
          </w:tabs>
        </w:pPr>
        <w:r w:rsidRPr="004E7869">
          <w:rPr>
            <w:color w:val="767171" w:themeColor="background2" w:themeShade="80"/>
          </w:rPr>
          <w:t xml:space="preserve">Version 1.0 – </w:t>
        </w:r>
        <w:r w:rsidR="00856703">
          <w:rPr>
            <w:color w:val="767171" w:themeColor="background2" w:themeShade="80"/>
          </w:rPr>
          <w:t>In process</w:t>
        </w:r>
        <w:r>
          <w:tab/>
        </w:r>
        <w:r>
          <w:tab/>
        </w:r>
        <w:r w:rsidR="001C78F6">
          <w:fldChar w:fldCharType="begin"/>
        </w:r>
        <w:r w:rsidR="001C78F6">
          <w:instrText xml:space="preserve"> PAGE   \* MERGEFORMAT </w:instrText>
        </w:r>
        <w:r w:rsidR="001C78F6">
          <w:fldChar w:fldCharType="separate"/>
        </w:r>
        <w:r w:rsidR="004374F2">
          <w:rPr>
            <w:noProof/>
          </w:rPr>
          <w:t>1</w:t>
        </w:r>
        <w:r w:rsidR="001C78F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F877C" w14:textId="77777777" w:rsidR="009C651B" w:rsidRDefault="009C651B" w:rsidP="00D76A8A">
      <w:r>
        <w:separator/>
      </w:r>
    </w:p>
  </w:footnote>
  <w:footnote w:type="continuationSeparator" w:id="0">
    <w:p w14:paraId="15E3531B" w14:textId="77777777" w:rsidR="009C651B" w:rsidRDefault="009C651B" w:rsidP="00D7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0B1B" w14:textId="77777777" w:rsidR="00EE4788" w:rsidRPr="00E77025" w:rsidRDefault="00EE4788" w:rsidP="00E77025">
    <w:pPr>
      <w:pStyle w:val="Header"/>
      <w:spacing w:after="240"/>
      <w:rPr>
        <w:sz w:val="8"/>
        <w:szCs w:val="8"/>
      </w:rPr>
    </w:pPr>
    <w:r w:rsidRPr="00E77025">
      <w:rPr>
        <w:noProof/>
        <w:sz w:val="8"/>
        <w:szCs w:val="8"/>
      </w:rPr>
      <mc:AlternateContent>
        <mc:Choice Requires="wps">
          <w:drawing>
            <wp:inline distT="0" distB="0" distL="0" distR="0" wp14:anchorId="6BC436A8" wp14:editId="6171C5D6">
              <wp:extent cx="683895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002060"/>
                      </a:solidFill>
                      <a:ln w="9525">
                        <a:noFill/>
                        <a:miter lim="800000"/>
                        <a:headEnd/>
                        <a:tailEnd/>
                      </a:ln>
                    </wps:spPr>
                    <wps:txbx>
                      <w:txbxContent>
                        <w:p w14:paraId="64BF97DA" w14:textId="77777777" w:rsidR="00EE4788" w:rsidRPr="00EE4788" w:rsidRDefault="00EE4788" w:rsidP="00EE4788">
                          <w:pPr>
                            <w:tabs>
                              <w:tab w:val="right" w:pos="10440"/>
                            </w:tabs>
                            <w:spacing w:before="80" w:after="0"/>
                            <w:rPr>
                              <w:b/>
                            </w:rPr>
                          </w:pPr>
                          <w:r w:rsidRPr="00EE4788">
                            <w:rPr>
                              <w:noProof/>
                            </w:rPr>
                            <w:drawing>
                              <wp:inline distT="0" distB="0" distL="0" distR="0" wp14:anchorId="42901C51" wp14:editId="2D9B31A9">
                                <wp:extent cx="1658061"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 Logo.png"/>
                                        <pic:cNvPicPr/>
                                      </pic:nvPicPr>
                                      <pic:blipFill>
                                        <a:blip r:embed="rId1">
                                          <a:extLst>
                                            <a:ext uri="{28A0092B-C50C-407E-A947-70E740481C1C}">
                                              <a14:useLocalDpi xmlns:a14="http://schemas.microsoft.com/office/drawing/2010/main" val="0"/>
                                            </a:ext>
                                          </a:extLst>
                                        </a:blip>
                                        <a:stretch>
                                          <a:fillRect/>
                                        </a:stretch>
                                      </pic:blipFill>
                                      <pic:spPr>
                                        <a:xfrm>
                                          <a:off x="0" y="0"/>
                                          <a:ext cx="1658061" cy="457200"/>
                                        </a:xfrm>
                                        <a:prstGeom prst="rect">
                                          <a:avLst/>
                                        </a:prstGeom>
                                      </pic:spPr>
                                    </pic:pic>
                                  </a:graphicData>
                                </a:graphic>
                              </wp:inline>
                            </w:drawing>
                          </w:r>
                          <w:r w:rsidRPr="00EE4788">
                            <w:rPr>
                              <w:b/>
                            </w:rPr>
                            <w:tab/>
                          </w:r>
                          <w:r w:rsidRPr="00EE4788">
                            <w:rPr>
                              <w:b/>
                              <w:color w:val="FFFFFF" w:themeColor="background1"/>
                              <w:sz w:val="28"/>
                              <w:szCs w:val="28"/>
                            </w:rPr>
                            <w:t>Blue Student Course Evaluations - Informational Handout</w:t>
                          </w:r>
                        </w:p>
                      </w:txbxContent>
                    </wps:txbx>
                    <wps:bodyPr rot="0" vert="horz" wrap="square" lIns="91440" tIns="45720" rIns="91440" bIns="45720" anchor="t" anchorCtr="0">
                      <a:spAutoFit/>
                    </wps:bodyPr>
                  </wps:wsp>
                </a:graphicData>
              </a:graphic>
            </wp:inline>
          </w:drawing>
        </mc:Choice>
        <mc:Fallback>
          <w:pict>
            <v:shapetype w14:anchorId="6BC436A8" id="_x0000_t202" coordsize="21600,21600" o:spt="202" path="m,l,21600r21600,l21600,xe">
              <v:stroke joinstyle="miter"/>
              <v:path gradientshapeok="t" o:connecttype="rect"/>
            </v:shapetype>
            <v:shape id="Text Box 2" o:spid="_x0000_s1026" type="#_x0000_t202" style="width:5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" fillcolor="#002060" stroked="f">
              <v:textbox style="mso-fit-shape-to-text:t">
                <w:txbxContent>
                  <w:p w14:paraId="64BF97DA" w14:textId="77777777" w:rsidR="00EE4788" w:rsidRPr="00EE4788" w:rsidRDefault="00EE4788" w:rsidP="00EE4788">
                    <w:pPr>
                      <w:tabs>
                        <w:tab w:val="right" w:pos="10440"/>
                      </w:tabs>
                      <w:spacing w:before="80" w:after="0"/>
                      <w:rPr>
                        <w:b/>
                      </w:rPr>
                    </w:pPr>
                    <w:r w:rsidRPr="00EE4788">
                      <w:rPr>
                        <w:noProof/>
                      </w:rPr>
                      <w:drawing>
                        <wp:inline distT="0" distB="0" distL="0" distR="0" wp14:anchorId="42901C51" wp14:editId="2D9B31A9">
                          <wp:extent cx="1658061" cy="457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S Logo.png"/>
                                  <pic:cNvPicPr/>
                                </pic:nvPicPr>
                                <pic:blipFill>
                                  <a:blip r:embed="rId1">
                                    <a:extLst>
                                      <a:ext uri="{28A0092B-C50C-407E-A947-70E740481C1C}">
                                        <a14:useLocalDpi xmlns:a14="http://schemas.microsoft.com/office/drawing/2010/main" val="0"/>
                                      </a:ext>
                                    </a:extLst>
                                  </a:blip>
                                  <a:stretch>
                                    <a:fillRect/>
                                  </a:stretch>
                                </pic:blipFill>
                                <pic:spPr>
                                  <a:xfrm>
                                    <a:off x="0" y="0"/>
                                    <a:ext cx="1658061" cy="457200"/>
                                  </a:xfrm>
                                  <a:prstGeom prst="rect">
                                    <a:avLst/>
                                  </a:prstGeom>
                                </pic:spPr>
                              </pic:pic>
                            </a:graphicData>
                          </a:graphic>
                        </wp:inline>
                      </w:drawing>
                    </w:r>
                    <w:r w:rsidRPr="00EE4788">
                      <w:rPr>
                        <w:b/>
                      </w:rPr>
                      <w:tab/>
                    </w:r>
                    <w:r w:rsidRPr="00EE4788">
                      <w:rPr>
                        <w:b/>
                        <w:color w:val="FFFFFF" w:themeColor="background1"/>
                        <w:sz w:val="28"/>
                        <w:szCs w:val="28"/>
                      </w:rPr>
                      <w:t>Blue Student Course Evaluations - Informational Handout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A97"/>
    <w:multiLevelType w:val="hybridMultilevel"/>
    <w:tmpl w:val="C29A4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2E40"/>
    <w:multiLevelType w:val="hybridMultilevel"/>
    <w:tmpl w:val="C5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81734"/>
    <w:multiLevelType w:val="hybridMultilevel"/>
    <w:tmpl w:val="B69E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4FF7"/>
    <w:multiLevelType w:val="hybridMultilevel"/>
    <w:tmpl w:val="609CB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E08C0"/>
    <w:multiLevelType w:val="hybridMultilevel"/>
    <w:tmpl w:val="AF38A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2BC9685B"/>
    <w:multiLevelType w:val="hybridMultilevel"/>
    <w:tmpl w:val="B89C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72BEC"/>
    <w:multiLevelType w:val="hybridMultilevel"/>
    <w:tmpl w:val="D9ECC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F38C1"/>
    <w:multiLevelType w:val="hybridMultilevel"/>
    <w:tmpl w:val="0AF4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55610"/>
    <w:multiLevelType w:val="hybridMultilevel"/>
    <w:tmpl w:val="BB88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1470B"/>
    <w:multiLevelType w:val="hybridMultilevel"/>
    <w:tmpl w:val="9F4A6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80760"/>
    <w:multiLevelType w:val="hybridMultilevel"/>
    <w:tmpl w:val="346A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B7323"/>
    <w:multiLevelType w:val="hybridMultilevel"/>
    <w:tmpl w:val="8ECC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F464F"/>
    <w:multiLevelType w:val="hybridMultilevel"/>
    <w:tmpl w:val="13C6D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F6C82"/>
    <w:multiLevelType w:val="hybridMultilevel"/>
    <w:tmpl w:val="531E0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965F9"/>
    <w:multiLevelType w:val="hybridMultilevel"/>
    <w:tmpl w:val="709A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55731"/>
    <w:multiLevelType w:val="hybridMultilevel"/>
    <w:tmpl w:val="95649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B5E36"/>
    <w:multiLevelType w:val="hybridMultilevel"/>
    <w:tmpl w:val="20ACF1CE"/>
    <w:lvl w:ilvl="0" w:tplc="0770D090">
      <w:start w:val="1"/>
      <w:numFmt w:val="decimal"/>
      <w:lvlText w:val="%1."/>
      <w:lvlJc w:val="left"/>
      <w:pPr>
        <w:ind w:left="720" w:hanging="360"/>
      </w:pPr>
      <w:rPr>
        <w:color w:val="2E74B5" w:themeColor="accent1" w:themeShade="B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821E1"/>
    <w:multiLevelType w:val="hybridMultilevel"/>
    <w:tmpl w:val="3B28FE50"/>
    <w:lvl w:ilvl="0" w:tplc="F592ACB4">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31CFB"/>
    <w:multiLevelType w:val="hybridMultilevel"/>
    <w:tmpl w:val="E4F6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64094"/>
    <w:multiLevelType w:val="hybridMultilevel"/>
    <w:tmpl w:val="4CE0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A286B"/>
    <w:multiLevelType w:val="hybridMultilevel"/>
    <w:tmpl w:val="7592E4BC"/>
    <w:lvl w:ilvl="0" w:tplc="C484928A">
      <w:numFmt w:val="bullet"/>
      <w:lvlText w:val="•"/>
      <w:lvlJc w:val="left"/>
      <w:pPr>
        <w:ind w:left="1106" w:hanging="212"/>
      </w:pPr>
      <w:rPr>
        <w:rFonts w:ascii="Arial" w:eastAsia="Arial" w:hAnsi="Arial" w:cs="Arial" w:hint="default"/>
        <w:w w:val="100"/>
        <w:sz w:val="22"/>
        <w:szCs w:val="22"/>
      </w:rPr>
    </w:lvl>
    <w:lvl w:ilvl="1" w:tplc="39F60AFE">
      <w:numFmt w:val="bullet"/>
      <w:lvlText w:val="•"/>
      <w:lvlJc w:val="left"/>
      <w:pPr>
        <w:ind w:left="1990" w:hanging="212"/>
      </w:pPr>
      <w:rPr>
        <w:rFonts w:hint="default"/>
      </w:rPr>
    </w:lvl>
    <w:lvl w:ilvl="2" w:tplc="1BAE33D2">
      <w:numFmt w:val="bullet"/>
      <w:lvlText w:val="•"/>
      <w:lvlJc w:val="left"/>
      <w:pPr>
        <w:ind w:left="2880" w:hanging="212"/>
      </w:pPr>
      <w:rPr>
        <w:rFonts w:hint="default"/>
      </w:rPr>
    </w:lvl>
    <w:lvl w:ilvl="3" w:tplc="6F86C9EE">
      <w:numFmt w:val="bullet"/>
      <w:lvlText w:val="•"/>
      <w:lvlJc w:val="left"/>
      <w:pPr>
        <w:ind w:left="3770" w:hanging="212"/>
      </w:pPr>
      <w:rPr>
        <w:rFonts w:hint="default"/>
      </w:rPr>
    </w:lvl>
    <w:lvl w:ilvl="4" w:tplc="6158C7CC">
      <w:numFmt w:val="bullet"/>
      <w:lvlText w:val="•"/>
      <w:lvlJc w:val="left"/>
      <w:pPr>
        <w:ind w:left="4660" w:hanging="212"/>
      </w:pPr>
      <w:rPr>
        <w:rFonts w:hint="default"/>
      </w:rPr>
    </w:lvl>
    <w:lvl w:ilvl="5" w:tplc="5F4C6936">
      <w:numFmt w:val="bullet"/>
      <w:lvlText w:val="•"/>
      <w:lvlJc w:val="left"/>
      <w:pPr>
        <w:ind w:left="5550" w:hanging="212"/>
      </w:pPr>
      <w:rPr>
        <w:rFonts w:hint="default"/>
      </w:rPr>
    </w:lvl>
    <w:lvl w:ilvl="6" w:tplc="C3263A36">
      <w:numFmt w:val="bullet"/>
      <w:lvlText w:val="•"/>
      <w:lvlJc w:val="left"/>
      <w:pPr>
        <w:ind w:left="6440" w:hanging="212"/>
      </w:pPr>
      <w:rPr>
        <w:rFonts w:hint="default"/>
      </w:rPr>
    </w:lvl>
    <w:lvl w:ilvl="7" w:tplc="B382F910">
      <w:numFmt w:val="bullet"/>
      <w:lvlText w:val="•"/>
      <w:lvlJc w:val="left"/>
      <w:pPr>
        <w:ind w:left="7330" w:hanging="212"/>
      </w:pPr>
      <w:rPr>
        <w:rFonts w:hint="default"/>
      </w:rPr>
    </w:lvl>
    <w:lvl w:ilvl="8" w:tplc="5C3CCBB8">
      <w:numFmt w:val="bullet"/>
      <w:lvlText w:val="•"/>
      <w:lvlJc w:val="left"/>
      <w:pPr>
        <w:ind w:left="8220" w:hanging="212"/>
      </w:pPr>
      <w:rPr>
        <w:rFonts w:hint="default"/>
      </w:rPr>
    </w:lvl>
  </w:abstractNum>
  <w:abstractNum w:abstractNumId="22" w15:restartNumberingAfterBreak="0">
    <w:nsid w:val="67E51926"/>
    <w:multiLevelType w:val="hybridMultilevel"/>
    <w:tmpl w:val="DC32E8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55BEB"/>
    <w:multiLevelType w:val="hybridMultilevel"/>
    <w:tmpl w:val="2288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622267"/>
    <w:multiLevelType w:val="hybridMultilevel"/>
    <w:tmpl w:val="95F8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B3EE1"/>
    <w:multiLevelType w:val="hybridMultilevel"/>
    <w:tmpl w:val="1FEE6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C20E7"/>
    <w:multiLevelType w:val="hybridMultilevel"/>
    <w:tmpl w:val="FFBA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C3178"/>
    <w:multiLevelType w:val="hybridMultilevel"/>
    <w:tmpl w:val="EB1A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C1787"/>
    <w:multiLevelType w:val="hybridMultilevel"/>
    <w:tmpl w:val="897C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20"/>
  </w:num>
  <w:num w:numId="3">
    <w:abstractNumId w:val="7"/>
  </w:num>
  <w:num w:numId="4">
    <w:abstractNumId w:val="13"/>
  </w:num>
  <w:num w:numId="5">
    <w:abstractNumId w:val="24"/>
  </w:num>
  <w:num w:numId="6">
    <w:abstractNumId w:val="1"/>
  </w:num>
  <w:num w:numId="7">
    <w:abstractNumId w:val="23"/>
  </w:num>
  <w:num w:numId="8">
    <w:abstractNumId w:val="0"/>
  </w:num>
  <w:num w:numId="9">
    <w:abstractNumId w:val="25"/>
  </w:num>
  <w:num w:numId="10">
    <w:abstractNumId w:val="14"/>
  </w:num>
  <w:num w:numId="11">
    <w:abstractNumId w:val="29"/>
  </w:num>
  <w:num w:numId="12">
    <w:abstractNumId w:val="26"/>
  </w:num>
  <w:num w:numId="13">
    <w:abstractNumId w:val="9"/>
  </w:num>
  <w:num w:numId="14">
    <w:abstractNumId w:val="16"/>
  </w:num>
  <w:num w:numId="15">
    <w:abstractNumId w:val="8"/>
  </w:num>
  <w:num w:numId="16">
    <w:abstractNumId w:val="10"/>
  </w:num>
  <w:num w:numId="17">
    <w:abstractNumId w:val="19"/>
  </w:num>
  <w:num w:numId="18">
    <w:abstractNumId w:val="22"/>
  </w:num>
  <w:num w:numId="19">
    <w:abstractNumId w:val="3"/>
  </w:num>
  <w:num w:numId="20">
    <w:abstractNumId w:val="5"/>
  </w:num>
  <w:num w:numId="21">
    <w:abstractNumId w:val="18"/>
  </w:num>
  <w:num w:numId="22">
    <w:abstractNumId w:val="15"/>
  </w:num>
  <w:num w:numId="23">
    <w:abstractNumId w:val="11"/>
  </w:num>
  <w:num w:numId="24">
    <w:abstractNumId w:val="21"/>
  </w:num>
  <w:num w:numId="25">
    <w:abstractNumId w:val="4"/>
  </w:num>
  <w:num w:numId="26">
    <w:abstractNumId w:val="6"/>
  </w:num>
  <w:num w:numId="27">
    <w:abstractNumId w:val="2"/>
  </w:num>
  <w:num w:numId="28">
    <w:abstractNumId w:val="17"/>
  </w:num>
  <w:num w:numId="29">
    <w:abstractNumId w:val="2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1B"/>
    <w:rsid w:val="0001336B"/>
    <w:rsid w:val="00015C6C"/>
    <w:rsid w:val="000174E9"/>
    <w:rsid w:val="00025921"/>
    <w:rsid w:val="0003129A"/>
    <w:rsid w:val="000318E9"/>
    <w:rsid w:val="000367BD"/>
    <w:rsid w:val="00040804"/>
    <w:rsid w:val="0004248D"/>
    <w:rsid w:val="0005125A"/>
    <w:rsid w:val="000518F1"/>
    <w:rsid w:val="000554FF"/>
    <w:rsid w:val="00056046"/>
    <w:rsid w:val="0006227B"/>
    <w:rsid w:val="000627D5"/>
    <w:rsid w:val="00064154"/>
    <w:rsid w:val="00064E84"/>
    <w:rsid w:val="0006691B"/>
    <w:rsid w:val="00075D5A"/>
    <w:rsid w:val="00092869"/>
    <w:rsid w:val="00093E9D"/>
    <w:rsid w:val="00094524"/>
    <w:rsid w:val="000A15E9"/>
    <w:rsid w:val="000A2AB0"/>
    <w:rsid w:val="000A4614"/>
    <w:rsid w:val="000B047B"/>
    <w:rsid w:val="000B2719"/>
    <w:rsid w:val="000B273D"/>
    <w:rsid w:val="000B508B"/>
    <w:rsid w:val="000B517B"/>
    <w:rsid w:val="000B65EC"/>
    <w:rsid w:val="000C1703"/>
    <w:rsid w:val="000C2376"/>
    <w:rsid w:val="000C37C2"/>
    <w:rsid w:val="000D7AFE"/>
    <w:rsid w:val="000F2814"/>
    <w:rsid w:val="000F6822"/>
    <w:rsid w:val="00107DD7"/>
    <w:rsid w:val="00116C73"/>
    <w:rsid w:val="00124401"/>
    <w:rsid w:val="00126203"/>
    <w:rsid w:val="00131493"/>
    <w:rsid w:val="00143DDD"/>
    <w:rsid w:val="00144782"/>
    <w:rsid w:val="00147CA9"/>
    <w:rsid w:val="001521C9"/>
    <w:rsid w:val="001534C8"/>
    <w:rsid w:val="00164351"/>
    <w:rsid w:val="00167522"/>
    <w:rsid w:val="00173BBA"/>
    <w:rsid w:val="001763A4"/>
    <w:rsid w:val="00177674"/>
    <w:rsid w:val="00182BE3"/>
    <w:rsid w:val="001850A9"/>
    <w:rsid w:val="00191AB6"/>
    <w:rsid w:val="001A0858"/>
    <w:rsid w:val="001B4205"/>
    <w:rsid w:val="001B642E"/>
    <w:rsid w:val="001C78F6"/>
    <w:rsid w:val="001C7BF2"/>
    <w:rsid w:val="001D06C7"/>
    <w:rsid w:val="001D1584"/>
    <w:rsid w:val="001D2690"/>
    <w:rsid w:val="001E2534"/>
    <w:rsid w:val="001E2953"/>
    <w:rsid w:val="001E3FDE"/>
    <w:rsid w:val="001E4C02"/>
    <w:rsid w:val="001F0F3C"/>
    <w:rsid w:val="001F1A11"/>
    <w:rsid w:val="001F4ED1"/>
    <w:rsid w:val="002052E6"/>
    <w:rsid w:val="00206E83"/>
    <w:rsid w:val="00207511"/>
    <w:rsid w:val="00212565"/>
    <w:rsid w:val="002154B9"/>
    <w:rsid w:val="002172D7"/>
    <w:rsid w:val="00225155"/>
    <w:rsid w:val="00226595"/>
    <w:rsid w:val="00230AC2"/>
    <w:rsid w:val="00231F95"/>
    <w:rsid w:val="0023282B"/>
    <w:rsid w:val="00236124"/>
    <w:rsid w:val="00237DB7"/>
    <w:rsid w:val="0024033B"/>
    <w:rsid w:val="00250855"/>
    <w:rsid w:val="00266EBF"/>
    <w:rsid w:val="0027109A"/>
    <w:rsid w:val="00272047"/>
    <w:rsid w:val="00273565"/>
    <w:rsid w:val="00281CBE"/>
    <w:rsid w:val="00296AF0"/>
    <w:rsid w:val="002977AC"/>
    <w:rsid w:val="002A24B8"/>
    <w:rsid w:val="002B5BDF"/>
    <w:rsid w:val="002C1852"/>
    <w:rsid w:val="002D1D7C"/>
    <w:rsid w:val="002D3F91"/>
    <w:rsid w:val="002D7179"/>
    <w:rsid w:val="002E6E0E"/>
    <w:rsid w:val="002F7CC4"/>
    <w:rsid w:val="0030157C"/>
    <w:rsid w:val="003044D4"/>
    <w:rsid w:val="00307D92"/>
    <w:rsid w:val="003155AD"/>
    <w:rsid w:val="00316B83"/>
    <w:rsid w:val="0033178F"/>
    <w:rsid w:val="00332A64"/>
    <w:rsid w:val="003413C4"/>
    <w:rsid w:val="00342E4D"/>
    <w:rsid w:val="00344729"/>
    <w:rsid w:val="00347371"/>
    <w:rsid w:val="00347EDA"/>
    <w:rsid w:val="00355FF9"/>
    <w:rsid w:val="00357D4D"/>
    <w:rsid w:val="00364FB2"/>
    <w:rsid w:val="00372197"/>
    <w:rsid w:val="0037278D"/>
    <w:rsid w:val="00373D9E"/>
    <w:rsid w:val="00375F84"/>
    <w:rsid w:val="00377A11"/>
    <w:rsid w:val="00381363"/>
    <w:rsid w:val="00386AC2"/>
    <w:rsid w:val="00397B1F"/>
    <w:rsid w:val="003C06F1"/>
    <w:rsid w:val="003C189D"/>
    <w:rsid w:val="003E3946"/>
    <w:rsid w:val="003E52C3"/>
    <w:rsid w:val="00404308"/>
    <w:rsid w:val="004204EF"/>
    <w:rsid w:val="00430B68"/>
    <w:rsid w:val="004315FE"/>
    <w:rsid w:val="00431952"/>
    <w:rsid w:val="004328E5"/>
    <w:rsid w:val="0043319C"/>
    <w:rsid w:val="004354F5"/>
    <w:rsid w:val="004374F2"/>
    <w:rsid w:val="00441559"/>
    <w:rsid w:val="0044346A"/>
    <w:rsid w:val="0044367E"/>
    <w:rsid w:val="00444FF8"/>
    <w:rsid w:val="00446729"/>
    <w:rsid w:val="004575B8"/>
    <w:rsid w:val="00457B69"/>
    <w:rsid w:val="00467120"/>
    <w:rsid w:val="00475B97"/>
    <w:rsid w:val="00485981"/>
    <w:rsid w:val="004942F6"/>
    <w:rsid w:val="004A4442"/>
    <w:rsid w:val="004C0244"/>
    <w:rsid w:val="004D066B"/>
    <w:rsid w:val="004D0FB6"/>
    <w:rsid w:val="004D3E60"/>
    <w:rsid w:val="004D6635"/>
    <w:rsid w:val="004E14C5"/>
    <w:rsid w:val="004E7869"/>
    <w:rsid w:val="004F005D"/>
    <w:rsid w:val="004F0F3B"/>
    <w:rsid w:val="004F52EE"/>
    <w:rsid w:val="00515545"/>
    <w:rsid w:val="00520997"/>
    <w:rsid w:val="00520E4E"/>
    <w:rsid w:val="00521341"/>
    <w:rsid w:val="0052349A"/>
    <w:rsid w:val="00532E95"/>
    <w:rsid w:val="00534666"/>
    <w:rsid w:val="00541B49"/>
    <w:rsid w:val="00551031"/>
    <w:rsid w:val="00561C67"/>
    <w:rsid w:val="00565D4F"/>
    <w:rsid w:val="00583103"/>
    <w:rsid w:val="00584243"/>
    <w:rsid w:val="0058746D"/>
    <w:rsid w:val="005935F9"/>
    <w:rsid w:val="0059603E"/>
    <w:rsid w:val="005A33F8"/>
    <w:rsid w:val="005A5095"/>
    <w:rsid w:val="005B01E1"/>
    <w:rsid w:val="005B23E3"/>
    <w:rsid w:val="005B743E"/>
    <w:rsid w:val="005D2C3C"/>
    <w:rsid w:val="005D2EF1"/>
    <w:rsid w:val="005D6D9A"/>
    <w:rsid w:val="005E7E6A"/>
    <w:rsid w:val="005F0DA9"/>
    <w:rsid w:val="005F2549"/>
    <w:rsid w:val="00607FBA"/>
    <w:rsid w:val="00611529"/>
    <w:rsid w:val="00612411"/>
    <w:rsid w:val="00616B3C"/>
    <w:rsid w:val="00621D18"/>
    <w:rsid w:val="006259C3"/>
    <w:rsid w:val="00626C9E"/>
    <w:rsid w:val="00634D4A"/>
    <w:rsid w:val="0063602A"/>
    <w:rsid w:val="00636DB0"/>
    <w:rsid w:val="00647444"/>
    <w:rsid w:val="00655837"/>
    <w:rsid w:val="006802DF"/>
    <w:rsid w:val="00680B6A"/>
    <w:rsid w:val="00685969"/>
    <w:rsid w:val="006922E6"/>
    <w:rsid w:val="006929A6"/>
    <w:rsid w:val="00692B0D"/>
    <w:rsid w:val="006A16E1"/>
    <w:rsid w:val="006A2B0C"/>
    <w:rsid w:val="006A2C56"/>
    <w:rsid w:val="006B1D7E"/>
    <w:rsid w:val="006B2171"/>
    <w:rsid w:val="006B4521"/>
    <w:rsid w:val="006B45DD"/>
    <w:rsid w:val="006B6F25"/>
    <w:rsid w:val="006C0C8C"/>
    <w:rsid w:val="006C1C0F"/>
    <w:rsid w:val="006D1897"/>
    <w:rsid w:val="006D4377"/>
    <w:rsid w:val="006D74CA"/>
    <w:rsid w:val="006E0DFB"/>
    <w:rsid w:val="006E3387"/>
    <w:rsid w:val="006F32C9"/>
    <w:rsid w:val="006F63F0"/>
    <w:rsid w:val="006F66C8"/>
    <w:rsid w:val="007000D3"/>
    <w:rsid w:val="0071087E"/>
    <w:rsid w:val="007153BB"/>
    <w:rsid w:val="00716701"/>
    <w:rsid w:val="00725C0F"/>
    <w:rsid w:val="00726966"/>
    <w:rsid w:val="0072774A"/>
    <w:rsid w:val="0073512F"/>
    <w:rsid w:val="007367D1"/>
    <w:rsid w:val="0074073D"/>
    <w:rsid w:val="00741EEC"/>
    <w:rsid w:val="0075573E"/>
    <w:rsid w:val="00757663"/>
    <w:rsid w:val="00766A86"/>
    <w:rsid w:val="00776909"/>
    <w:rsid w:val="007774FE"/>
    <w:rsid w:val="0078013B"/>
    <w:rsid w:val="00786C73"/>
    <w:rsid w:val="00790AF6"/>
    <w:rsid w:val="007932AA"/>
    <w:rsid w:val="0079508F"/>
    <w:rsid w:val="007D0151"/>
    <w:rsid w:val="007D0B5D"/>
    <w:rsid w:val="007D2EF2"/>
    <w:rsid w:val="007E100A"/>
    <w:rsid w:val="007E2AD9"/>
    <w:rsid w:val="007E43BC"/>
    <w:rsid w:val="007E567F"/>
    <w:rsid w:val="007E5F92"/>
    <w:rsid w:val="007E6615"/>
    <w:rsid w:val="007F3070"/>
    <w:rsid w:val="007F35E0"/>
    <w:rsid w:val="007F473B"/>
    <w:rsid w:val="00812FEE"/>
    <w:rsid w:val="008141AB"/>
    <w:rsid w:val="00815650"/>
    <w:rsid w:val="00815EBD"/>
    <w:rsid w:val="008160A1"/>
    <w:rsid w:val="00822C9C"/>
    <w:rsid w:val="00827246"/>
    <w:rsid w:val="00830E6E"/>
    <w:rsid w:val="00832030"/>
    <w:rsid w:val="0085591C"/>
    <w:rsid w:val="00856703"/>
    <w:rsid w:val="00857288"/>
    <w:rsid w:val="00861713"/>
    <w:rsid w:val="00863971"/>
    <w:rsid w:val="0086434A"/>
    <w:rsid w:val="00866508"/>
    <w:rsid w:val="0086707C"/>
    <w:rsid w:val="00871B41"/>
    <w:rsid w:val="00887636"/>
    <w:rsid w:val="00887C69"/>
    <w:rsid w:val="00892D08"/>
    <w:rsid w:val="00892F5D"/>
    <w:rsid w:val="00896FF3"/>
    <w:rsid w:val="008A6A03"/>
    <w:rsid w:val="008B7138"/>
    <w:rsid w:val="008D096F"/>
    <w:rsid w:val="008D26D2"/>
    <w:rsid w:val="008E2482"/>
    <w:rsid w:val="008E38E3"/>
    <w:rsid w:val="008E542D"/>
    <w:rsid w:val="008F199A"/>
    <w:rsid w:val="008F3BC7"/>
    <w:rsid w:val="008F5431"/>
    <w:rsid w:val="00907175"/>
    <w:rsid w:val="0091535A"/>
    <w:rsid w:val="00921939"/>
    <w:rsid w:val="009276DF"/>
    <w:rsid w:val="0092787D"/>
    <w:rsid w:val="00936BCA"/>
    <w:rsid w:val="00940C48"/>
    <w:rsid w:val="009427C6"/>
    <w:rsid w:val="009540AC"/>
    <w:rsid w:val="009666C0"/>
    <w:rsid w:val="0096767B"/>
    <w:rsid w:val="00972380"/>
    <w:rsid w:val="009817D1"/>
    <w:rsid w:val="009857AA"/>
    <w:rsid w:val="00990DC9"/>
    <w:rsid w:val="009A148E"/>
    <w:rsid w:val="009A29E8"/>
    <w:rsid w:val="009A2E78"/>
    <w:rsid w:val="009A745A"/>
    <w:rsid w:val="009B0378"/>
    <w:rsid w:val="009B4AF2"/>
    <w:rsid w:val="009C5865"/>
    <w:rsid w:val="009C64CB"/>
    <w:rsid w:val="009C651B"/>
    <w:rsid w:val="009C6919"/>
    <w:rsid w:val="009D628A"/>
    <w:rsid w:val="009D6B4C"/>
    <w:rsid w:val="009E0048"/>
    <w:rsid w:val="009E047B"/>
    <w:rsid w:val="009E35DC"/>
    <w:rsid w:val="009F1D2F"/>
    <w:rsid w:val="00A01B5D"/>
    <w:rsid w:val="00A15C31"/>
    <w:rsid w:val="00A1615E"/>
    <w:rsid w:val="00A25085"/>
    <w:rsid w:val="00A314DE"/>
    <w:rsid w:val="00A317CD"/>
    <w:rsid w:val="00A4183A"/>
    <w:rsid w:val="00A45846"/>
    <w:rsid w:val="00A51E01"/>
    <w:rsid w:val="00A51F8B"/>
    <w:rsid w:val="00A639EE"/>
    <w:rsid w:val="00A656AD"/>
    <w:rsid w:val="00A74209"/>
    <w:rsid w:val="00A757CF"/>
    <w:rsid w:val="00A758F4"/>
    <w:rsid w:val="00A771B8"/>
    <w:rsid w:val="00A85E39"/>
    <w:rsid w:val="00A95C42"/>
    <w:rsid w:val="00AA0E14"/>
    <w:rsid w:val="00AA6AB4"/>
    <w:rsid w:val="00AA6DF4"/>
    <w:rsid w:val="00AB4373"/>
    <w:rsid w:val="00AB5B8B"/>
    <w:rsid w:val="00AB667C"/>
    <w:rsid w:val="00AC5050"/>
    <w:rsid w:val="00AD1213"/>
    <w:rsid w:val="00AD1678"/>
    <w:rsid w:val="00AD3B87"/>
    <w:rsid w:val="00AD752F"/>
    <w:rsid w:val="00AE1288"/>
    <w:rsid w:val="00AE3410"/>
    <w:rsid w:val="00AE38CC"/>
    <w:rsid w:val="00AE557B"/>
    <w:rsid w:val="00AF61F2"/>
    <w:rsid w:val="00B05324"/>
    <w:rsid w:val="00B15291"/>
    <w:rsid w:val="00B175F6"/>
    <w:rsid w:val="00B2068C"/>
    <w:rsid w:val="00B32D6C"/>
    <w:rsid w:val="00B34660"/>
    <w:rsid w:val="00B34AA5"/>
    <w:rsid w:val="00B35CF4"/>
    <w:rsid w:val="00B37A89"/>
    <w:rsid w:val="00B40088"/>
    <w:rsid w:val="00B53646"/>
    <w:rsid w:val="00B53FD7"/>
    <w:rsid w:val="00B60726"/>
    <w:rsid w:val="00B62EB0"/>
    <w:rsid w:val="00B630F0"/>
    <w:rsid w:val="00B631D9"/>
    <w:rsid w:val="00B6377C"/>
    <w:rsid w:val="00B6714B"/>
    <w:rsid w:val="00B732F0"/>
    <w:rsid w:val="00B90EC8"/>
    <w:rsid w:val="00B96A74"/>
    <w:rsid w:val="00BA12F3"/>
    <w:rsid w:val="00BA2628"/>
    <w:rsid w:val="00BA59F8"/>
    <w:rsid w:val="00BA7CBC"/>
    <w:rsid w:val="00BB409D"/>
    <w:rsid w:val="00BC305A"/>
    <w:rsid w:val="00BC6DF5"/>
    <w:rsid w:val="00BD3941"/>
    <w:rsid w:val="00BD51A9"/>
    <w:rsid w:val="00BE08C7"/>
    <w:rsid w:val="00BE15B5"/>
    <w:rsid w:val="00BE2362"/>
    <w:rsid w:val="00BE349D"/>
    <w:rsid w:val="00BE49F0"/>
    <w:rsid w:val="00BE5670"/>
    <w:rsid w:val="00BF754A"/>
    <w:rsid w:val="00C00154"/>
    <w:rsid w:val="00C03051"/>
    <w:rsid w:val="00C06B33"/>
    <w:rsid w:val="00C126EB"/>
    <w:rsid w:val="00C2156D"/>
    <w:rsid w:val="00C23346"/>
    <w:rsid w:val="00C24D2C"/>
    <w:rsid w:val="00C26EB4"/>
    <w:rsid w:val="00C367AE"/>
    <w:rsid w:val="00C43C3B"/>
    <w:rsid w:val="00C51226"/>
    <w:rsid w:val="00C553AC"/>
    <w:rsid w:val="00C67054"/>
    <w:rsid w:val="00C723D0"/>
    <w:rsid w:val="00C74234"/>
    <w:rsid w:val="00C849E0"/>
    <w:rsid w:val="00C87647"/>
    <w:rsid w:val="00C87976"/>
    <w:rsid w:val="00C9019C"/>
    <w:rsid w:val="00C9154C"/>
    <w:rsid w:val="00C94DE0"/>
    <w:rsid w:val="00C964FB"/>
    <w:rsid w:val="00C96614"/>
    <w:rsid w:val="00CA0F2D"/>
    <w:rsid w:val="00CA2604"/>
    <w:rsid w:val="00CA29B7"/>
    <w:rsid w:val="00CA72B4"/>
    <w:rsid w:val="00CA7F73"/>
    <w:rsid w:val="00CB71FA"/>
    <w:rsid w:val="00CC00D7"/>
    <w:rsid w:val="00CD057D"/>
    <w:rsid w:val="00CE4689"/>
    <w:rsid w:val="00CF1A4B"/>
    <w:rsid w:val="00D0077A"/>
    <w:rsid w:val="00D2016E"/>
    <w:rsid w:val="00D25BDF"/>
    <w:rsid w:val="00D27843"/>
    <w:rsid w:val="00D368D1"/>
    <w:rsid w:val="00D44EAD"/>
    <w:rsid w:val="00D46559"/>
    <w:rsid w:val="00D61520"/>
    <w:rsid w:val="00D630FE"/>
    <w:rsid w:val="00D761FB"/>
    <w:rsid w:val="00D76A8A"/>
    <w:rsid w:val="00D81AC0"/>
    <w:rsid w:val="00D83211"/>
    <w:rsid w:val="00D832D8"/>
    <w:rsid w:val="00D84E6A"/>
    <w:rsid w:val="00D95F03"/>
    <w:rsid w:val="00D962EA"/>
    <w:rsid w:val="00DA4444"/>
    <w:rsid w:val="00DA74CD"/>
    <w:rsid w:val="00DB2BFC"/>
    <w:rsid w:val="00DB512F"/>
    <w:rsid w:val="00DD116D"/>
    <w:rsid w:val="00DD4271"/>
    <w:rsid w:val="00DD776F"/>
    <w:rsid w:val="00DE412F"/>
    <w:rsid w:val="00DF219E"/>
    <w:rsid w:val="00E15020"/>
    <w:rsid w:val="00E22E41"/>
    <w:rsid w:val="00E244FB"/>
    <w:rsid w:val="00E30E25"/>
    <w:rsid w:val="00E31BEF"/>
    <w:rsid w:val="00E404FE"/>
    <w:rsid w:val="00E41A02"/>
    <w:rsid w:val="00E45EFE"/>
    <w:rsid w:val="00E5004E"/>
    <w:rsid w:val="00E51C75"/>
    <w:rsid w:val="00E54D33"/>
    <w:rsid w:val="00E57CA9"/>
    <w:rsid w:val="00E637B7"/>
    <w:rsid w:val="00E65D60"/>
    <w:rsid w:val="00E70837"/>
    <w:rsid w:val="00E74B97"/>
    <w:rsid w:val="00E76B04"/>
    <w:rsid w:val="00E77025"/>
    <w:rsid w:val="00E778AB"/>
    <w:rsid w:val="00E84839"/>
    <w:rsid w:val="00E8530A"/>
    <w:rsid w:val="00EA4728"/>
    <w:rsid w:val="00EC02D3"/>
    <w:rsid w:val="00ED06CA"/>
    <w:rsid w:val="00ED456D"/>
    <w:rsid w:val="00EE4788"/>
    <w:rsid w:val="00EF56DD"/>
    <w:rsid w:val="00F02112"/>
    <w:rsid w:val="00F05175"/>
    <w:rsid w:val="00F07AF6"/>
    <w:rsid w:val="00F11AE6"/>
    <w:rsid w:val="00F13129"/>
    <w:rsid w:val="00F14966"/>
    <w:rsid w:val="00F24F60"/>
    <w:rsid w:val="00F32802"/>
    <w:rsid w:val="00F361D3"/>
    <w:rsid w:val="00F36EFE"/>
    <w:rsid w:val="00F40A9B"/>
    <w:rsid w:val="00F436A7"/>
    <w:rsid w:val="00F44C17"/>
    <w:rsid w:val="00F524EF"/>
    <w:rsid w:val="00F53546"/>
    <w:rsid w:val="00F54285"/>
    <w:rsid w:val="00F706DE"/>
    <w:rsid w:val="00F76099"/>
    <w:rsid w:val="00F8726A"/>
    <w:rsid w:val="00F91E11"/>
    <w:rsid w:val="00F9273E"/>
    <w:rsid w:val="00FA734E"/>
    <w:rsid w:val="00FB38E8"/>
    <w:rsid w:val="00FC38C9"/>
    <w:rsid w:val="00FC5469"/>
    <w:rsid w:val="00FD1DDA"/>
    <w:rsid w:val="00FD5459"/>
    <w:rsid w:val="00FE4BE8"/>
    <w:rsid w:val="00FF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E140A4"/>
  <w15:chartTrackingRefBased/>
  <w15:docId w15:val="{36F4C90B-CC20-447D-903D-01109F7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AF2"/>
    <w:pPr>
      <w:spacing w:after="180" w:line="240" w:lineRule="auto"/>
    </w:pPr>
    <w:rPr>
      <w:rFonts w:ascii="Calibri" w:hAnsi="Calibri"/>
      <w:sz w:val="24"/>
      <w:szCs w:val="18"/>
      <w:lang w:eastAsia="ja-JP"/>
    </w:rPr>
  </w:style>
  <w:style w:type="paragraph" w:styleId="Heading1">
    <w:name w:val="heading 1"/>
    <w:basedOn w:val="Normal"/>
    <w:next w:val="Normal"/>
    <w:link w:val="Heading1Char"/>
    <w:uiPriority w:val="9"/>
    <w:qFormat/>
    <w:rsid w:val="00A656AD"/>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E2953"/>
    <w:pPr>
      <w:keepNext/>
      <w:keepLines/>
      <w:spacing w:before="4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uiPriority w:val="9"/>
    <w:unhideWhenUsed/>
    <w:qFormat/>
    <w:rsid w:val="00A656AD"/>
    <w:pPr>
      <w:keepNext/>
      <w:keepLines/>
      <w:spacing w:before="40" w:after="12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9C651B"/>
    <w:pPr>
      <w:keepNext/>
      <w:keepLines/>
      <w:spacing w:before="40" w:after="0"/>
      <w:outlineLvl w:val="3"/>
    </w:pPr>
    <w:rPr>
      <w:rFonts w:eastAsiaTheme="majorEastAsia" w:cstheme="majorBidi"/>
      <w:b/>
      <w:iCs/>
      <w:color w:val="1F4E79" w:themeColor="accent1" w:themeShade="80"/>
    </w:rPr>
  </w:style>
  <w:style w:type="paragraph" w:styleId="Heading5">
    <w:name w:val="heading 5"/>
    <w:basedOn w:val="Normal"/>
    <w:next w:val="Normal"/>
    <w:link w:val="Heading5Char"/>
    <w:uiPriority w:val="9"/>
    <w:unhideWhenUsed/>
    <w:qFormat/>
    <w:rsid w:val="009C651B"/>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AD"/>
    <w:rPr>
      <w:rFonts w:ascii="Calibri" w:eastAsiaTheme="majorEastAsia" w:hAnsi="Calibri" w:cstheme="majorBidi"/>
      <w:b/>
      <w:color w:val="404040" w:themeColor="text1" w:themeTint="BF"/>
      <w:sz w:val="28"/>
      <w:szCs w:val="32"/>
      <w:lang w:eastAsia="ja-JP"/>
    </w:rPr>
  </w:style>
  <w:style w:type="paragraph" w:styleId="Title">
    <w:name w:val="Title"/>
    <w:basedOn w:val="Normal"/>
    <w:next w:val="Normal"/>
    <w:link w:val="TitleChar"/>
    <w:uiPriority w:val="10"/>
    <w:rsid w:val="00E5004E"/>
    <w:pPr>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1E2953"/>
    <w:rPr>
      <w:rFonts w:eastAsiaTheme="majorEastAsia" w:cstheme="majorBidi"/>
      <w:b/>
      <w:sz w:val="24"/>
      <w:szCs w:val="26"/>
      <w:u w:val="single"/>
    </w:rPr>
  </w:style>
  <w:style w:type="character" w:customStyle="1" w:styleId="Heading3Char">
    <w:name w:val="Heading 3 Char"/>
    <w:basedOn w:val="DefaultParagraphFont"/>
    <w:link w:val="Heading3"/>
    <w:uiPriority w:val="9"/>
    <w:rsid w:val="00A656AD"/>
    <w:rPr>
      <w:rFonts w:ascii="Calibri" w:eastAsiaTheme="majorEastAsia" w:hAnsi="Calibri" w:cstheme="majorBidi"/>
      <w:b/>
      <w:color w:val="2E74B5" w:themeColor="accent1" w:themeShade="BF"/>
      <w:sz w:val="24"/>
      <w:szCs w:val="24"/>
      <w:lang w:eastAsia="ja-JP"/>
    </w:rPr>
  </w:style>
  <w:style w:type="paragraph" w:styleId="ListParagraph">
    <w:name w:val="List Paragraph"/>
    <w:basedOn w:val="Normal"/>
    <w:uiPriority w:val="1"/>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rPr>
      <w:rFonts w:ascii="Segoe UI" w:hAnsi="Segoe UI" w:cs="Segoe UI"/>
      <w:sz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character" w:customStyle="1" w:styleId="Heading4Char">
    <w:name w:val="Heading 4 Char"/>
    <w:basedOn w:val="DefaultParagraphFont"/>
    <w:link w:val="Heading4"/>
    <w:uiPriority w:val="9"/>
    <w:rsid w:val="009C651B"/>
    <w:rPr>
      <w:rFonts w:ascii="Calibri" w:eastAsiaTheme="majorEastAsia" w:hAnsi="Calibri" w:cstheme="majorBidi"/>
      <w:b/>
      <w:iCs/>
      <w:color w:val="1F4E79" w:themeColor="accent1" w:themeShade="80"/>
      <w:sz w:val="24"/>
      <w:szCs w:val="18"/>
      <w:lang w:eastAsia="ja-JP"/>
    </w:rPr>
  </w:style>
  <w:style w:type="character" w:customStyle="1" w:styleId="Heading5Char">
    <w:name w:val="Heading 5 Char"/>
    <w:basedOn w:val="DefaultParagraphFont"/>
    <w:link w:val="Heading5"/>
    <w:uiPriority w:val="9"/>
    <w:rsid w:val="009C651B"/>
    <w:rPr>
      <w:rFonts w:ascii="Calibri" w:hAnsi="Calibri"/>
      <w:b/>
      <w:color w:val="404040" w:themeColor="text1" w:themeTint="BF"/>
      <w:sz w:val="24"/>
      <w:szCs w:val="18"/>
      <w:lang w:eastAsia="ja-JP"/>
    </w:rPr>
  </w:style>
  <w:style w:type="character" w:styleId="UnresolvedMention">
    <w:name w:val="Unresolved Mention"/>
    <w:basedOn w:val="DefaultParagraphFont"/>
    <w:uiPriority w:val="99"/>
    <w:semiHidden/>
    <w:unhideWhenUsed/>
    <w:rsid w:val="00355FF9"/>
    <w:rPr>
      <w:color w:val="605E5C"/>
      <w:shd w:val="clear" w:color="auto" w:fill="E1DFDD"/>
    </w:rPr>
  </w:style>
  <w:style w:type="character" w:styleId="CommentReference">
    <w:name w:val="annotation reference"/>
    <w:basedOn w:val="DefaultParagraphFont"/>
    <w:uiPriority w:val="99"/>
    <w:semiHidden/>
    <w:unhideWhenUsed/>
    <w:rsid w:val="00871B41"/>
    <w:rPr>
      <w:sz w:val="16"/>
      <w:szCs w:val="16"/>
    </w:rPr>
  </w:style>
  <w:style w:type="paragraph" w:styleId="CommentText">
    <w:name w:val="annotation text"/>
    <w:basedOn w:val="Normal"/>
    <w:link w:val="CommentTextChar"/>
    <w:uiPriority w:val="99"/>
    <w:semiHidden/>
    <w:unhideWhenUsed/>
    <w:rsid w:val="00871B41"/>
    <w:rPr>
      <w:sz w:val="20"/>
      <w:szCs w:val="20"/>
    </w:rPr>
  </w:style>
  <w:style w:type="character" w:customStyle="1" w:styleId="CommentTextChar">
    <w:name w:val="Comment Text Char"/>
    <w:basedOn w:val="DefaultParagraphFont"/>
    <w:link w:val="CommentText"/>
    <w:uiPriority w:val="99"/>
    <w:semiHidden/>
    <w:rsid w:val="00871B41"/>
    <w:rPr>
      <w:rFonts w:ascii="Calibri" w:hAnsi="Calibri"/>
      <w:sz w:val="20"/>
      <w:szCs w:val="20"/>
      <w:lang w:eastAsia="ja-JP"/>
    </w:rPr>
  </w:style>
  <w:style w:type="paragraph" w:styleId="CommentSubject">
    <w:name w:val="annotation subject"/>
    <w:basedOn w:val="CommentText"/>
    <w:next w:val="CommentText"/>
    <w:link w:val="CommentSubjectChar"/>
    <w:uiPriority w:val="99"/>
    <w:semiHidden/>
    <w:unhideWhenUsed/>
    <w:rsid w:val="00871B41"/>
    <w:rPr>
      <w:b/>
      <w:bCs/>
    </w:rPr>
  </w:style>
  <w:style w:type="character" w:customStyle="1" w:styleId="CommentSubjectChar">
    <w:name w:val="Comment Subject Char"/>
    <w:basedOn w:val="CommentTextChar"/>
    <w:link w:val="CommentSubject"/>
    <w:uiPriority w:val="99"/>
    <w:semiHidden/>
    <w:rsid w:val="00871B41"/>
    <w:rPr>
      <w:rFonts w:ascii="Calibri" w:hAnsi="Calibri"/>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lcc.bluera.com/lc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mailto:lcc-cds@star.lcc.edu?subject=Comments%20upon%20Universal%20Ques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cc.bluera.com/lcc/" TargetMode="External"/><Relationship Id="rId10" Type="http://schemas.openxmlformats.org/officeDocument/2006/relationships/endnotes" Target="endnotes.xml"/><Relationship Id="rId19" Type="http://schemas.openxmlformats.org/officeDocument/2006/relationships/hyperlink" Target="mailto:lcc-cds@star.lcc.edu?subject=Handout%20Ques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Use%20Th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E9B5-89A9-4455-9D69-1487BE49672C}">
  <ds:schemaRefs>
    <ds:schemaRef ds:uri="http://schemas.microsoft.com/sharepoint/v3/contenttype/forms"/>
  </ds:schemaRefs>
</ds:datastoreItem>
</file>

<file path=customXml/itemProps2.xml><?xml version="1.0" encoding="utf-8"?>
<ds:datastoreItem xmlns:ds="http://schemas.openxmlformats.org/officeDocument/2006/customXml" ds:itemID="{94C3B5EE-4094-4CF5-9235-F46C04ED0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464E0-817A-4AC7-BAD2-53FE4179FF0B}">
  <ds:schemaRefs>
    <ds:schemaRef ds:uri="http://purl.org/dc/dcmitype/"/>
    <ds:schemaRef ds:uri="http://schemas.microsoft.com/office/2006/metadata/properties"/>
    <ds:schemaRef ds:uri="62ff897b-6839-4992-885c-60cca9e1c578"/>
    <ds:schemaRef ds:uri="http://purl.org/dc/terms/"/>
    <ds:schemaRef ds:uri="http://purl.org/dc/elements/1.1/"/>
    <ds:schemaRef ds:uri="a86ecd2c-4cfb-45c3-ab7c-e01d68768ef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82847D6-15DE-4126-90CB-0D50FF49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 This.dotx</Template>
  <TotalTime>1</TotalTime>
  <Pages>4</Pages>
  <Words>1291</Words>
  <Characters>7363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2</cp:revision>
  <cp:lastPrinted>2020-01-16T18:08:00Z</cp:lastPrinted>
  <dcterms:created xsi:type="dcterms:W3CDTF">2022-11-08T21:20:00Z</dcterms:created>
  <dcterms:modified xsi:type="dcterms:W3CDTF">2022-11-08T21:20:00Z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